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31D61" w14:textId="3A18B0F1" w:rsidR="003F671B" w:rsidRPr="003F671B" w:rsidRDefault="003F671B">
      <w:pPr>
        <w:pStyle w:val="Title"/>
        <w:rPr>
          <w:sz w:val="96"/>
          <w:szCs w:val="96"/>
        </w:rPr>
      </w:pPr>
      <w:r w:rsidRPr="003F671B">
        <w:rPr>
          <w:sz w:val="96"/>
          <w:szCs w:val="96"/>
        </w:rPr>
        <w:t>Flat Earth</w:t>
      </w:r>
    </w:p>
    <w:p w14:paraId="1249B7FF" w14:textId="163300D1" w:rsidR="00733B5F" w:rsidRDefault="00000000">
      <w:pPr>
        <w:pStyle w:val="Title"/>
      </w:pPr>
      <w:r>
        <w:t>Beyond the Horizon</w:t>
      </w:r>
    </w:p>
    <w:p w14:paraId="689D42BE" w14:textId="77777777" w:rsidR="00DE3B58" w:rsidRDefault="00DE3B58" w:rsidP="002F458B">
      <w:pPr>
        <w:pStyle w:val="Subtitle"/>
        <w:jc w:val="left"/>
      </w:pPr>
    </w:p>
    <w:p w14:paraId="312464BD" w14:textId="4F0E09DD" w:rsidR="00733B5F" w:rsidRDefault="00000000">
      <w:pPr>
        <w:pStyle w:val="Subtitle"/>
      </w:pPr>
      <w:r>
        <w:t>Flat Earth as a Case Study in Evidence, Maritime Observation, Historical Mythmaking, and Institutional Trust</w:t>
      </w:r>
    </w:p>
    <w:p w14:paraId="4162230E" w14:textId="77777777" w:rsidR="00025347" w:rsidRDefault="00025347">
      <w:pPr>
        <w:pStyle w:val="Author"/>
      </w:pPr>
    </w:p>
    <w:p w14:paraId="716A2E7F" w14:textId="77777777" w:rsidR="00DE3B58" w:rsidRPr="00DE3B58" w:rsidRDefault="00DE3B58" w:rsidP="00DE3B58">
      <w:pPr>
        <w:pStyle w:val="BodyText"/>
      </w:pPr>
    </w:p>
    <w:p w14:paraId="13468CB7" w14:textId="77777777" w:rsidR="00025347" w:rsidRDefault="00025347">
      <w:pPr>
        <w:pStyle w:val="Author"/>
      </w:pPr>
    </w:p>
    <w:p w14:paraId="5D4B4C27" w14:textId="77777777" w:rsidR="00733B5F" w:rsidRDefault="00000000">
      <w:pPr>
        <w:pStyle w:val="HWCentered"/>
      </w:pPr>
      <w:r>
        <w:rPr>
          <w:noProof/>
        </w:rPr>
        <w:drawing>
          <wp:inline distT="0" distB="0" distL="0" distR="0" wp14:anchorId="179DB349" wp14:editId="17F3B304">
            <wp:extent cx="1371600" cy="1368297"/>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assets/logo_transparent.png"/>
                    <pic:cNvPicPr>
                      <a:picLocks noChangeAspect="1" noChangeArrowheads="1"/>
                    </pic:cNvPicPr>
                  </pic:nvPicPr>
                  <pic:blipFill>
                    <a:blip r:embed="rId8"/>
                    <a:stretch>
                      <a:fillRect/>
                    </a:stretch>
                  </pic:blipFill>
                  <pic:spPr bwMode="auto">
                    <a:xfrm>
                      <a:off x="0" y="0"/>
                      <a:ext cx="1371600" cy="1368297"/>
                    </a:xfrm>
                    <a:prstGeom prst="rect">
                      <a:avLst/>
                    </a:prstGeom>
                    <a:noFill/>
                    <a:ln w="9525">
                      <a:noFill/>
                      <a:headEnd/>
                      <a:tailEnd/>
                    </a:ln>
                  </pic:spPr>
                </pic:pic>
              </a:graphicData>
            </a:graphic>
          </wp:inline>
        </w:drawing>
      </w:r>
    </w:p>
    <w:p w14:paraId="43058E52" w14:textId="3A51DE52" w:rsidR="00733B5F" w:rsidRDefault="00000000" w:rsidP="00025347">
      <w:pPr>
        <w:pStyle w:val="HWTagline"/>
      </w:pPr>
      <w:r>
        <w:t>Investigating the Unusual. Following the Evidence.</w:t>
      </w:r>
      <w:r w:rsidR="00025347">
        <w:t xml:space="preserve"> </w:t>
      </w:r>
    </w:p>
    <w:p w14:paraId="61663646" w14:textId="77777777" w:rsidR="00025347" w:rsidRDefault="00025347" w:rsidP="00025347">
      <w:pPr>
        <w:pStyle w:val="Author"/>
      </w:pPr>
    </w:p>
    <w:p w14:paraId="5365FF98" w14:textId="77777777" w:rsidR="00DE3B58" w:rsidRDefault="00DE3B58" w:rsidP="00DE3B58">
      <w:pPr>
        <w:pStyle w:val="BodyText"/>
      </w:pPr>
    </w:p>
    <w:p w14:paraId="4B279AA5" w14:textId="77777777" w:rsidR="00DE3B58" w:rsidRPr="00DE3B58" w:rsidRDefault="00DE3B58" w:rsidP="00DE3B58">
      <w:pPr>
        <w:pStyle w:val="BodyText"/>
      </w:pPr>
    </w:p>
    <w:p w14:paraId="233562C2" w14:textId="77777777" w:rsidR="00025347" w:rsidRDefault="00025347" w:rsidP="00025347">
      <w:pPr>
        <w:pStyle w:val="Author"/>
      </w:pPr>
    </w:p>
    <w:p w14:paraId="59F3D8E5" w14:textId="19632CEC" w:rsidR="00025347" w:rsidRDefault="00DE3B58" w:rsidP="00025347">
      <w:pPr>
        <w:pStyle w:val="Author"/>
      </w:pPr>
      <w:r>
        <w:t>Rich Green</w:t>
      </w:r>
    </w:p>
    <w:p w14:paraId="2771747E" w14:textId="7AD4BCF4" w:rsidR="00025347" w:rsidRDefault="00025347" w:rsidP="00025347">
      <w:pPr>
        <w:pStyle w:val="Author"/>
      </w:pPr>
      <w:r>
        <w:t>Horizon Watch Research Division</w:t>
      </w:r>
    </w:p>
    <w:p w14:paraId="468ECAEF" w14:textId="77777777" w:rsidR="00025347" w:rsidRDefault="00025347" w:rsidP="00025347">
      <w:pPr>
        <w:pStyle w:val="Date"/>
      </w:pPr>
      <w:r>
        <w:t>August 2026</w:t>
      </w:r>
    </w:p>
    <w:p w14:paraId="3213A852" w14:textId="1C3BF652" w:rsidR="00DE3B58" w:rsidRPr="00DE3B58" w:rsidRDefault="00DE3B58" w:rsidP="00DE3B58">
      <w:pPr>
        <w:pStyle w:val="BodyText"/>
        <w:jc w:val="center"/>
      </w:pPr>
      <w:r>
        <w:t>hello@horizonwatch.app</w:t>
      </w:r>
    </w:p>
    <w:p w14:paraId="03F601FC" w14:textId="77777777" w:rsidR="00DE3B58" w:rsidRDefault="00DE3B58" w:rsidP="00DE3B58">
      <w:pPr>
        <w:pStyle w:val="BodyText"/>
      </w:pPr>
    </w:p>
    <w:p w14:paraId="71671914" w14:textId="77777777" w:rsidR="00DE3B58" w:rsidRDefault="00DE3B58" w:rsidP="00DE3B58">
      <w:pPr>
        <w:pStyle w:val="BodyText"/>
      </w:pPr>
    </w:p>
    <w:p w14:paraId="19F741F8" w14:textId="77777777" w:rsidR="00DE3B58" w:rsidRPr="00DE3B58" w:rsidRDefault="00DE3B58" w:rsidP="00DE3B58">
      <w:pPr>
        <w:pStyle w:val="BodyText"/>
      </w:pPr>
    </w:p>
    <w:p w14:paraId="614EE213" w14:textId="6F0BFF66" w:rsidR="00025347" w:rsidRDefault="00025347"/>
    <w:p w14:paraId="10C28DB4" w14:textId="77777777" w:rsidR="00733B5F" w:rsidRDefault="00000000">
      <w:pPr>
        <w:pStyle w:val="BodyText"/>
      </w:pPr>
      <w:r>
        <w:rPr>
          <w:b/>
          <w:bCs/>
        </w:rPr>
        <w:t>Research premise</w:t>
      </w:r>
    </w:p>
    <w:p w14:paraId="12C2F0F5" w14:textId="77777777" w:rsidR="00733B5F" w:rsidRDefault="00000000">
      <w:pPr>
        <w:pStyle w:val="BodyText"/>
      </w:pPr>
      <w:r>
        <w:t>The scientific question is not simply whether the Earth is flat. The deeper epistemological question is how we know what we think we know, and why weak evidence can become persuasive when institutional trust has already been damaged.</w:t>
      </w:r>
    </w:p>
    <w:p w14:paraId="5BA2B42E" w14:textId="77777777" w:rsidR="00733B5F" w:rsidRDefault="00000000">
      <w:pPr>
        <w:pStyle w:val="Heading1"/>
      </w:pPr>
      <w:bookmarkStart w:id="0" w:name="abstract"/>
      <w:r>
        <w:t>Abstract</w:t>
      </w:r>
    </w:p>
    <w:p w14:paraId="0BE72600" w14:textId="77777777" w:rsidR="00733B5F" w:rsidRDefault="00000000">
      <w:pPr>
        <w:pStyle w:val="FirstParagraph"/>
      </w:pPr>
      <w:r>
        <w:t>This paper evaluates contemporary Flat Earth claims as an epistemological case study rather than as a scientifically open question. It develops the central premise of the Horizon Watch working file: some Flat Earth arguments can appear persuasive when isolated from the broader body of evidence, and the reasons for that persuasiveness reveal important lessons about observation, model comparison, institutional trust, and misinformation. The analysis begins with the historically inaccurate classroom narrative that Christopher Columbus proved the Earth was round against a flat-Earth consensus. Modern scholarship shows that educated spherical-Earth traditions long predated Columbus and that the principal geographical dispute surrounding his westward project concerned the size of the Earth and the distance to Asia. The paper then removes space-agency imagery from the evidentiary foundation and asks whether Earth's geometry can be discriminated using maritime observation, celestial navigation, geodesy, terrestrial experiments, Southern Hemisphere geometry, and documentary evidence concerning Antarctica. Across these independent domains, the oblate-globe model produces coherent and quantitatively successful predictions: horizon distance varies with height of eye; celestial-pole altitude tracks latitude; great-circle geometry and longitudinal convergence work operationally; northern and southern sky motions are mutually consistent with observation from a rotating globe; geodetic level surfaces are equipotential rather than infinitely planar; Foucault pendulums and ring-laser gyroscopes detect Earth rotation; and Antarctic geography, travel, science, inspections, and tourism do not match the perimeter-ice-wall hypothesis. No comparably complete Flat Earth model provides a single quantitative framework that predicts these observations without repeated ad hoc modifications. The scientific verdict is therefore strongly in favor of the globe model. Yet the social lesson is more complicated: institutions can repeat myths, and discovering one genuine institutional error can transfer credibility to sources that mix correct criticism with unsupported conclusions. The appropriate response is neither deference nor reflexive distrust, but symmetrical skepticism in which each claim earns its status through independent evidence, reproducibility, prediction, and willingness to be falsified.</w:t>
      </w:r>
    </w:p>
    <w:p w14:paraId="3DA986F2" w14:textId="77777777" w:rsidR="00733B5F" w:rsidRDefault="00000000">
      <w:pPr>
        <w:pStyle w:val="BodyText"/>
      </w:pPr>
      <w:r>
        <w:rPr>
          <w:b/>
          <w:bCs/>
        </w:rPr>
        <w:t>Keywords:</w:t>
      </w:r>
      <w:r>
        <w:t xml:space="preserve"> Flat Earth; maritime navigation; Columbus; scientific evidence; falsifiability; Antarctic Treaty; epistemic trust; misinformation; conspiracy belief; geodesy</w:t>
      </w:r>
    </w:p>
    <w:p w14:paraId="2BAACD8E" w14:textId="77777777" w:rsidR="00733B5F" w:rsidRDefault="00000000">
      <w:pPr>
        <w:pStyle w:val="Heading1"/>
      </w:pPr>
      <w:bookmarkStart w:id="1" w:name="central-thesis"/>
      <w:bookmarkEnd w:id="0"/>
      <w:r>
        <w:t>Central Thesis</w:t>
      </w:r>
    </w:p>
    <w:p w14:paraId="529C79AE" w14:textId="77777777" w:rsidR="00733B5F" w:rsidRDefault="00000000">
      <w:pPr>
        <w:pStyle w:val="FirstParagraph"/>
      </w:pPr>
      <w:r>
        <w:rPr>
          <w:b/>
          <w:bCs/>
        </w:rPr>
        <w:t>Thesis.</w:t>
      </w:r>
      <w:r>
        <w:t xml:space="preserve"> The globe model overwhelmingly outperforms contemporary Flat Earth models in explanatory coherence, reproducibility, and quantitative predictive power. However, the persistence of Flat Earth belief identifies a genuine epistemic vulnerability: when trusted </w:t>
      </w:r>
      <w:r>
        <w:lastRenderedPageBreak/>
        <w:t>institutions transmit false, simplified, or poorly explained claims, later discovery of those failures can create a trust vacuum in which alternative sources gain credibility. The correct remedy is not to substitute distrust for authority, but to require the same evidentiary standards of both conventional and alternative claims.</w:t>
      </w:r>
    </w:p>
    <w:p w14:paraId="57F4F1C9" w14:textId="77777777" w:rsidR="00733B5F" w:rsidRDefault="00000000">
      <w:pPr>
        <w:pStyle w:val="Heading3"/>
      </w:pPr>
      <w:bookmarkStart w:id="2" w:name="a-note-on-sources"/>
      <w:r>
        <w:t>A Note on Sources</w:t>
      </w:r>
    </w:p>
    <w:p w14:paraId="6AEC833C" w14:textId="77777777" w:rsidR="00733B5F" w:rsidRDefault="00000000">
      <w:pPr>
        <w:pStyle w:val="FirstParagraph"/>
      </w:pPr>
      <w:r>
        <w:t xml:space="preserve">This edition combines two Horizon Watch documents into a single reference text: the original </w:t>
      </w:r>
      <w:r>
        <w:rPr>
          <w:i/>
          <w:iCs/>
        </w:rPr>
        <w:t>Horizon File</w:t>
      </w:r>
      <w:r>
        <w:t xml:space="preserve"> working outline that framed the investigation’s questions, evidence standards, and narrative arc, and the scholarly research paper subsequently written from that outline against the published literature. The paper carried nearly all of the outline’s structure into finished prose, so this edition follows the paper’s chapter sequence throughout. In the small number of places where the working outline contains material the paper did not restate in full - its working definition of the contemporary Flat Earth model, its original seven-level evidence ladder, and its closing caution about the phrase “everybody knows” - that material has been folded back in at the relevant point and cited to the working outline. Nothing has been removed from either source document; passages have been reordered, and in places condensed, for a single continuous read.</w:t>
      </w:r>
    </w:p>
    <w:p w14:paraId="0E737F20" w14:textId="77777777" w:rsidR="00733B5F" w:rsidRDefault="00000000">
      <w:r>
        <w:br w:type="page"/>
      </w:r>
    </w:p>
    <w:p w14:paraId="7FE09882" w14:textId="77777777" w:rsidR="00733B5F" w:rsidRDefault="00000000">
      <w:pPr>
        <w:pStyle w:val="Heading1"/>
      </w:pPr>
      <w:bookmarkStart w:id="3" w:name="Xe570d717980d7059ca8b974a5e14fdf9e4c1f86"/>
      <w:bookmarkEnd w:id="1"/>
      <w:bookmarkEnd w:id="2"/>
      <w:r>
        <w:lastRenderedPageBreak/>
        <w:t>1. Introduction: Why Study a Scientifically Settled Question?</w:t>
      </w:r>
    </w:p>
    <w:p w14:paraId="6647A1AB" w14:textId="77777777" w:rsidR="00733B5F" w:rsidRDefault="00000000">
      <w:pPr>
        <w:pStyle w:val="FirstParagraph"/>
      </w:pPr>
      <w:r>
        <w:t>Flat Earth is an unusual research subject because the scientific status of Earth's large-scale geometry is not genuinely unresolved, yet the topic remains culturally powerful. That combination makes it analytically valuable. If a person can encounter an argument that feels observationally strong - a flat-looking horizon, apparently level water, a distant object visible farther than expected, or a claim that an agency has manipulated imagery - and then infer a radically different world model, the central research problem is not merely geometry. It is epistemology: how observations are translated into conclusions, how models are compared, how trust is assigned, and how errors in one domain contaminate confidence in another.</w:t>
      </w:r>
    </w:p>
    <w:p w14:paraId="6512136E" w14:textId="77777777" w:rsidR="00733B5F" w:rsidRDefault="00000000">
      <w:pPr>
        <w:pStyle w:val="BodyText"/>
      </w:pPr>
      <w:r>
        <w:t>The Horizon Watch working file explicitly proposes this broader approach. It begins by refusing two shortcuts: treating Flat Earth believers as unintelligent and pretending that Earth's shape is scientifically unsettled. It instead asks why some arguments can appear compelling to intelligent people and what that reveals about evidence, scientific communication, institutional trust, and misinformation (Horizon Watch, 2026). This framing is consistent with recent research that treats conspiracy belief not simply as pathology but as the product of ordinary cognitive, social, and community processes operating under particular conditions (Fernbach &amp; Bogard, 2024). It is also consistent with cultural-psychological research showing that Flat Earth belief can become integrated into personal narratives involving epistemic, social, and existential motives (Pahuus et al., 2024).</w:t>
      </w:r>
    </w:p>
    <w:p w14:paraId="01805BE6" w14:textId="77777777" w:rsidR="00733B5F" w:rsidRDefault="00000000">
      <w:pPr>
        <w:pStyle w:val="BodyText"/>
      </w:pPr>
      <w:r>
        <w:t>This paper therefore does not attempt a rhetorical debunking. It treats the globe and Flat Earth positions as competing explanatory systems and asks a more demanding question: which model predicts independent observations with the fewest auxiliary assumptions? A useful model should not merely explain an observation after the fact. It should specify in advance what should be observed at different locations, latitudes, heights, seasons, and directions. It should survive replication by people who do not share the same institutional commitments. It should also expose itself to possible failure.</w:t>
      </w:r>
    </w:p>
    <w:p w14:paraId="3452407A" w14:textId="77777777" w:rsidR="00733B5F" w:rsidRDefault="00000000">
      <w:pPr>
        <w:pStyle w:val="BodyText"/>
      </w:pPr>
      <w:r>
        <w:t>The maritime perspective is especially useful because navigation developed centuries before orbital photography and modern space agencies. Mariners routinely work with an unobstructed horizon, height of eye, celestial altitudes, great-circle geometry, chart projections, seasonal solar changes, and long-distance route planning. These practices provide an unusually rich set of tests that can be performed without beginning from trust in NASA. In that sense, the sea is not merely a location from which to look at the Earth. It is a laboratory in which geometric models have operational consequences.</w:t>
      </w:r>
    </w:p>
    <w:p w14:paraId="52804B75" w14:textId="77777777" w:rsidR="00733B5F" w:rsidRDefault="00000000">
      <w:pPr>
        <w:pStyle w:val="Heading2"/>
      </w:pPr>
      <w:bookmarkStart w:id="4" w:name="X4391b5c1e01253e7e91ee5c3adbd6ce9d7a05f0"/>
      <w:r>
        <w:t>Researcher framing note: the third-grade memory</w:t>
      </w:r>
    </w:p>
    <w:p w14:paraId="1EDBA342" w14:textId="77777777" w:rsidR="00733B5F" w:rsidRDefault="00000000">
      <w:pPr>
        <w:pStyle w:val="FirstParagraph"/>
      </w:pPr>
      <w:r>
        <w:t>When I was in third grade, I remember being taught something essentially like this: until a few hundred years ago everyone thought the Earth was flat; Christopher Columbus believed it was round, sailed west, discovered America, and proved them wrong. It was presented as history. The teacher presumably believed it, and I had no reason as an eight- or nine-year-old student to question it.</w:t>
      </w:r>
    </w:p>
    <w:p w14:paraId="6B12CB61" w14:textId="77777777" w:rsidR="00733B5F" w:rsidRDefault="00000000">
      <w:pPr>
        <w:pStyle w:val="BodyText"/>
      </w:pPr>
      <w:r>
        <w:t xml:space="preserve">That recollection is not offered as evidence that every school taught the same lesson, nor as proof of intentional deception. It serves as an epistemic case study. If an apparently basic historical claim is later found to be false or seriously distorted, the discovery can rationally reduce confidence in the source that transmitted it. The danger appears when a justified local correction becomes a global inference: "they were wrong about this, therefore whatever </w:t>
      </w:r>
      <w:r>
        <w:lastRenderedPageBreak/>
        <w:t>contradicts them is probably true." That second step does not follow logically. Yet the first failure can create the opening in which the second inference becomes emotionally and cognitively attractive.</w:t>
      </w:r>
    </w:p>
    <w:p w14:paraId="4B112F1D" w14:textId="77777777" w:rsidR="00733B5F" w:rsidRDefault="00000000">
      <w:pPr>
        <w:pStyle w:val="Heading1"/>
      </w:pPr>
      <w:bookmarkStart w:id="5" w:name="research-framing-and-methodology"/>
      <w:bookmarkEnd w:id="3"/>
      <w:bookmarkEnd w:id="4"/>
      <w:r>
        <w:t>2. Research Framing and Methodology</w:t>
      </w:r>
    </w:p>
    <w:p w14:paraId="6D495482" w14:textId="77777777" w:rsidR="00733B5F" w:rsidRDefault="00000000">
      <w:pPr>
        <w:pStyle w:val="FirstParagraph"/>
      </w:pPr>
      <w:r>
        <w:t>The paper uses comparative model testing. It does not ask whether a particular photograph, anecdote, or optical effect can be made compatible with a Flat Earth interpretation. Almost any sufficiently flexible worldview can absorb isolated observations. Instead, the analysis asks whether one coherent model can simultaneously predict observations across independent domains: horizon geometry, celestial navigation, southern-sky behavior, terrestrial rotation experiments, geodetic leveling, Antarctic geography, and real-world route distances.</w:t>
      </w:r>
    </w:p>
    <w:p w14:paraId="313BEB6D" w14:textId="77777777" w:rsidR="00733B5F" w:rsidRDefault="00000000">
      <w:pPr>
        <w:pStyle w:val="BodyText"/>
      </w:pPr>
      <w:r>
        <w:t>The original Horizon Watch outline proposes a seven-level evidence hierarchy: direct observation, independent reproducibility, predictive performance, inference, institutional claims, anecdote, and speculation (Horizon Watch, 2026). This is a useful investigative heuristic, but it should not be mistaken for a universal hierarchy in the philosophy of science. "Institutional" evidence, for example, can contain raw measurements, methods, uncertainty estimates, and independent replications and may therefore be stronger than a single person's direct perception. Conversely, direct observation can be degraded by atmospheric refraction, optical distortion, expectation, and measurement error. The more defensible scholarly approach is to treat these categories as dimensions rather than as a rigid ladder.</w:t>
      </w:r>
    </w:p>
    <w:p w14:paraId="62C37329" w14:textId="77777777" w:rsidR="00733B5F" w:rsidRDefault="00000000">
      <w:pPr>
        <w:pStyle w:val="BodyText"/>
      </w:pPr>
      <w:r>
        <w:rPr>
          <w:b/>
          <w:bCs/>
        </w:rPr>
        <w:t>Table 1. Evidentiary dimensions used in this investigation</w:t>
      </w:r>
    </w:p>
    <w:tbl>
      <w:tblPr>
        <w:tblStyle w:val="Table"/>
        <w:tblW w:w="4881" w:type="pct"/>
        <w:tblLook w:val="0020" w:firstRow="1" w:lastRow="0" w:firstColumn="0" w:lastColumn="0" w:noHBand="0" w:noVBand="0"/>
      </w:tblPr>
      <w:tblGrid>
        <w:gridCol w:w="2776"/>
        <w:gridCol w:w="2236"/>
        <w:gridCol w:w="1869"/>
        <w:gridCol w:w="2256"/>
      </w:tblGrid>
      <w:tr w:rsidR="00733B5F" w14:paraId="26033A83" w14:textId="77777777" w:rsidTr="00733B5F">
        <w:trPr>
          <w:cnfStyle w:val="100000000000" w:firstRow="1" w:lastRow="0" w:firstColumn="0" w:lastColumn="0" w:oddVBand="0" w:evenVBand="0" w:oddHBand="0" w:evenHBand="0" w:firstRowFirstColumn="0" w:firstRowLastColumn="0" w:lastRowFirstColumn="0" w:lastRowLastColumn="0"/>
          <w:tblHeader/>
        </w:trPr>
        <w:tc>
          <w:tcPr>
            <w:tcW w:w="0" w:type="auto"/>
          </w:tcPr>
          <w:p w14:paraId="7F25DF6E" w14:textId="77777777" w:rsidR="00733B5F" w:rsidRDefault="00000000">
            <w:pPr>
              <w:pStyle w:val="Compact"/>
            </w:pPr>
            <w:r>
              <w:rPr>
                <w:bCs/>
                <w:color w:val="FFFFFF"/>
              </w:rPr>
              <w:t>Dimension</w:t>
            </w:r>
          </w:p>
        </w:tc>
        <w:tc>
          <w:tcPr>
            <w:tcW w:w="0" w:type="auto"/>
          </w:tcPr>
          <w:p w14:paraId="6AF9829C" w14:textId="77777777" w:rsidR="00733B5F" w:rsidRDefault="00000000">
            <w:pPr>
              <w:pStyle w:val="Compact"/>
            </w:pPr>
            <w:r>
              <w:rPr>
                <w:bCs/>
                <w:color w:val="FFFFFF"/>
              </w:rPr>
              <w:t>Operational question</w:t>
            </w:r>
          </w:p>
        </w:tc>
        <w:tc>
          <w:tcPr>
            <w:tcW w:w="0" w:type="auto"/>
          </w:tcPr>
          <w:p w14:paraId="01147A0F" w14:textId="77777777" w:rsidR="00733B5F" w:rsidRDefault="00000000">
            <w:pPr>
              <w:pStyle w:val="Compact"/>
            </w:pPr>
            <w:r>
              <w:rPr>
                <w:bCs/>
                <w:color w:val="FFFFFF"/>
              </w:rPr>
              <w:t>Typical strength</w:t>
            </w:r>
          </w:p>
        </w:tc>
        <w:tc>
          <w:tcPr>
            <w:tcW w:w="0" w:type="auto"/>
          </w:tcPr>
          <w:p w14:paraId="099B4DC5" w14:textId="77777777" w:rsidR="00733B5F" w:rsidRDefault="00000000">
            <w:pPr>
              <w:pStyle w:val="Compact"/>
            </w:pPr>
            <w:r>
              <w:rPr>
                <w:bCs/>
                <w:color w:val="FFFFFF"/>
              </w:rPr>
              <w:t>Typical vulnerability</w:t>
            </w:r>
          </w:p>
        </w:tc>
      </w:tr>
      <w:tr w:rsidR="00733B5F" w14:paraId="6CFCD3CF" w14:textId="77777777">
        <w:tc>
          <w:tcPr>
            <w:tcW w:w="0" w:type="auto"/>
          </w:tcPr>
          <w:p w14:paraId="64E87E8E" w14:textId="77777777" w:rsidR="00733B5F" w:rsidRDefault="00000000">
            <w:pPr>
              <w:pStyle w:val="Compact"/>
            </w:pPr>
            <w:r>
              <w:t>Direct observation</w:t>
            </w:r>
          </w:p>
        </w:tc>
        <w:tc>
          <w:tcPr>
            <w:tcW w:w="0" w:type="auto"/>
          </w:tcPr>
          <w:p w14:paraId="464BF04E" w14:textId="77777777" w:rsidR="00733B5F" w:rsidRDefault="00000000">
            <w:pPr>
              <w:pStyle w:val="Compact"/>
            </w:pPr>
            <w:r>
              <w:t>Can a person observe or measure it personally?</w:t>
            </w:r>
          </w:p>
        </w:tc>
        <w:tc>
          <w:tcPr>
            <w:tcW w:w="0" w:type="auto"/>
          </w:tcPr>
          <w:p w14:paraId="6A4EB2E8" w14:textId="77777777" w:rsidR="00733B5F" w:rsidRDefault="00000000">
            <w:pPr>
              <w:pStyle w:val="Compact"/>
            </w:pPr>
            <w:r>
              <w:t>Reduces dependence on authority</w:t>
            </w:r>
          </w:p>
        </w:tc>
        <w:tc>
          <w:tcPr>
            <w:tcW w:w="0" w:type="auto"/>
          </w:tcPr>
          <w:p w14:paraId="68324E90" w14:textId="77777777" w:rsidR="00733B5F" w:rsidRDefault="00000000">
            <w:pPr>
              <w:pStyle w:val="Compact"/>
            </w:pPr>
            <w:r>
              <w:t>Perception, calibration, atmospheric effects, selection bias</w:t>
            </w:r>
          </w:p>
        </w:tc>
      </w:tr>
      <w:tr w:rsidR="00733B5F" w14:paraId="3BB520C2" w14:textId="77777777">
        <w:tc>
          <w:tcPr>
            <w:tcW w:w="0" w:type="auto"/>
          </w:tcPr>
          <w:p w14:paraId="3A56A2D0" w14:textId="77777777" w:rsidR="00733B5F" w:rsidRDefault="00000000">
            <w:pPr>
              <w:pStyle w:val="Compact"/>
            </w:pPr>
            <w:r>
              <w:t>Independent reproducibility</w:t>
            </w:r>
          </w:p>
        </w:tc>
        <w:tc>
          <w:tcPr>
            <w:tcW w:w="0" w:type="auto"/>
          </w:tcPr>
          <w:p w14:paraId="28B0CDB8" w14:textId="77777777" w:rsidR="00733B5F" w:rsidRDefault="00000000">
            <w:pPr>
              <w:pStyle w:val="Compact"/>
            </w:pPr>
            <w:r>
              <w:t>Can unrelated observers repeat it?</w:t>
            </w:r>
          </w:p>
        </w:tc>
        <w:tc>
          <w:tcPr>
            <w:tcW w:w="0" w:type="auto"/>
          </w:tcPr>
          <w:p w14:paraId="21D0E29D" w14:textId="77777777" w:rsidR="00733B5F" w:rsidRDefault="00000000">
            <w:pPr>
              <w:pStyle w:val="Compact"/>
            </w:pPr>
            <w:r>
              <w:t>Strong check on idiosyncratic error</w:t>
            </w:r>
          </w:p>
        </w:tc>
        <w:tc>
          <w:tcPr>
            <w:tcW w:w="0" w:type="auto"/>
          </w:tcPr>
          <w:p w14:paraId="6592618C" w14:textId="77777777" w:rsidR="00733B5F" w:rsidRDefault="00000000">
            <w:pPr>
              <w:pStyle w:val="Compact"/>
            </w:pPr>
            <w:r>
              <w:t>Requires method standardization and controls</w:t>
            </w:r>
          </w:p>
        </w:tc>
      </w:tr>
      <w:tr w:rsidR="00733B5F" w14:paraId="6FF153E9" w14:textId="77777777">
        <w:tc>
          <w:tcPr>
            <w:tcW w:w="0" w:type="auto"/>
          </w:tcPr>
          <w:p w14:paraId="2EB697B5" w14:textId="77777777" w:rsidR="00733B5F" w:rsidRDefault="00000000">
            <w:pPr>
              <w:pStyle w:val="Compact"/>
            </w:pPr>
            <w:r>
              <w:t>Predictive performance</w:t>
            </w:r>
          </w:p>
        </w:tc>
        <w:tc>
          <w:tcPr>
            <w:tcW w:w="0" w:type="auto"/>
          </w:tcPr>
          <w:p w14:paraId="2DE6BD71" w14:textId="77777777" w:rsidR="00733B5F" w:rsidRDefault="00000000">
            <w:pPr>
              <w:pStyle w:val="Compact"/>
            </w:pPr>
            <w:r>
              <w:t>Does the model predict results before measurement?</w:t>
            </w:r>
          </w:p>
        </w:tc>
        <w:tc>
          <w:tcPr>
            <w:tcW w:w="0" w:type="auto"/>
          </w:tcPr>
          <w:p w14:paraId="07FE64DB" w14:textId="77777777" w:rsidR="00733B5F" w:rsidRDefault="00000000">
            <w:pPr>
              <w:pStyle w:val="Compact"/>
            </w:pPr>
            <w:r>
              <w:t>Strong discriminator among rival models</w:t>
            </w:r>
          </w:p>
        </w:tc>
        <w:tc>
          <w:tcPr>
            <w:tcW w:w="0" w:type="auto"/>
          </w:tcPr>
          <w:p w14:paraId="456FE001" w14:textId="77777777" w:rsidR="00733B5F" w:rsidRDefault="00000000">
            <w:pPr>
              <w:pStyle w:val="Compact"/>
            </w:pPr>
            <w:r>
              <w:t>Overfitting if predictions are vague or post hoc</w:t>
            </w:r>
          </w:p>
        </w:tc>
      </w:tr>
      <w:tr w:rsidR="00733B5F" w14:paraId="7EE5F8E4" w14:textId="77777777">
        <w:tc>
          <w:tcPr>
            <w:tcW w:w="0" w:type="auto"/>
          </w:tcPr>
          <w:p w14:paraId="182D11C6" w14:textId="77777777" w:rsidR="00733B5F" w:rsidRDefault="00000000">
            <w:pPr>
              <w:pStyle w:val="Compact"/>
            </w:pPr>
            <w:r>
              <w:t>Mathematical inference</w:t>
            </w:r>
          </w:p>
        </w:tc>
        <w:tc>
          <w:tcPr>
            <w:tcW w:w="0" w:type="auto"/>
          </w:tcPr>
          <w:p w14:paraId="140FA3C9" w14:textId="77777777" w:rsidR="00733B5F" w:rsidRDefault="00000000">
            <w:pPr>
              <w:pStyle w:val="Compact"/>
            </w:pPr>
            <w:r>
              <w:t>Does the conclusion follow from measured premises?</w:t>
            </w:r>
          </w:p>
        </w:tc>
        <w:tc>
          <w:tcPr>
            <w:tcW w:w="0" w:type="auto"/>
          </w:tcPr>
          <w:p w14:paraId="370B1B1B" w14:textId="77777777" w:rsidR="00733B5F" w:rsidRDefault="00000000">
            <w:pPr>
              <w:pStyle w:val="Compact"/>
            </w:pPr>
            <w:r>
              <w:t>Allows precise cross-domain testing</w:t>
            </w:r>
          </w:p>
        </w:tc>
        <w:tc>
          <w:tcPr>
            <w:tcW w:w="0" w:type="auto"/>
          </w:tcPr>
          <w:p w14:paraId="401BA06B" w14:textId="77777777" w:rsidR="00733B5F" w:rsidRDefault="00000000">
            <w:pPr>
              <w:pStyle w:val="Compact"/>
            </w:pPr>
            <w:r>
              <w:t>Sensitive to incorrect assumptions or boundary conditions</w:t>
            </w:r>
          </w:p>
        </w:tc>
      </w:tr>
      <w:tr w:rsidR="00733B5F" w14:paraId="46FBF2B2" w14:textId="77777777">
        <w:tc>
          <w:tcPr>
            <w:tcW w:w="0" w:type="auto"/>
          </w:tcPr>
          <w:p w14:paraId="578A42BB" w14:textId="77777777" w:rsidR="00733B5F" w:rsidRDefault="00000000">
            <w:pPr>
              <w:pStyle w:val="Compact"/>
            </w:pPr>
            <w:r>
              <w:t>Documentary/institutional record</w:t>
            </w:r>
          </w:p>
        </w:tc>
        <w:tc>
          <w:tcPr>
            <w:tcW w:w="0" w:type="auto"/>
          </w:tcPr>
          <w:p w14:paraId="6E2EDC2B" w14:textId="77777777" w:rsidR="00733B5F" w:rsidRDefault="00000000">
            <w:pPr>
              <w:pStyle w:val="Compact"/>
            </w:pPr>
            <w:r>
              <w:t>Is there traceable documentation, methods, or custody?</w:t>
            </w:r>
          </w:p>
        </w:tc>
        <w:tc>
          <w:tcPr>
            <w:tcW w:w="0" w:type="auto"/>
          </w:tcPr>
          <w:p w14:paraId="16C14E77" w14:textId="77777777" w:rsidR="00733B5F" w:rsidRDefault="00000000">
            <w:pPr>
              <w:pStyle w:val="Compact"/>
            </w:pPr>
            <w:r>
              <w:t>Can aggregate large data sets and expertise</w:t>
            </w:r>
          </w:p>
        </w:tc>
        <w:tc>
          <w:tcPr>
            <w:tcW w:w="0" w:type="auto"/>
          </w:tcPr>
          <w:p w14:paraId="10EBF3FD" w14:textId="77777777" w:rsidR="00733B5F" w:rsidRDefault="00000000">
            <w:pPr>
              <w:pStyle w:val="Compact"/>
            </w:pPr>
            <w:r>
              <w:t>Requires provenance, transparency, and cross-checks</w:t>
            </w:r>
          </w:p>
        </w:tc>
      </w:tr>
      <w:tr w:rsidR="00733B5F" w14:paraId="72DD03C9" w14:textId="77777777">
        <w:tc>
          <w:tcPr>
            <w:tcW w:w="0" w:type="auto"/>
          </w:tcPr>
          <w:p w14:paraId="4A9A82EF" w14:textId="77777777" w:rsidR="00733B5F" w:rsidRDefault="00000000">
            <w:pPr>
              <w:pStyle w:val="Compact"/>
            </w:pPr>
            <w:r>
              <w:lastRenderedPageBreak/>
              <w:t>Anecdotal testimony</w:t>
            </w:r>
          </w:p>
        </w:tc>
        <w:tc>
          <w:tcPr>
            <w:tcW w:w="0" w:type="auto"/>
          </w:tcPr>
          <w:p w14:paraId="249DF6B9" w14:textId="77777777" w:rsidR="00733B5F" w:rsidRDefault="00000000">
            <w:pPr>
              <w:pStyle w:val="Compact"/>
            </w:pPr>
            <w:r>
              <w:t>What did an individual report?</w:t>
            </w:r>
          </w:p>
        </w:tc>
        <w:tc>
          <w:tcPr>
            <w:tcW w:w="0" w:type="auto"/>
          </w:tcPr>
          <w:p w14:paraId="5B0EE043" w14:textId="77777777" w:rsidR="00733B5F" w:rsidRDefault="00000000">
            <w:pPr>
              <w:pStyle w:val="Compact"/>
            </w:pPr>
            <w:r>
              <w:t>Can identify hypotheses worth testing</w:t>
            </w:r>
          </w:p>
        </w:tc>
        <w:tc>
          <w:tcPr>
            <w:tcW w:w="0" w:type="auto"/>
          </w:tcPr>
          <w:p w14:paraId="64BE4800" w14:textId="77777777" w:rsidR="00733B5F" w:rsidRDefault="00000000">
            <w:pPr>
              <w:pStyle w:val="Compact"/>
            </w:pPr>
            <w:r>
              <w:t>Memory, incentives, unverifiable context</w:t>
            </w:r>
          </w:p>
        </w:tc>
      </w:tr>
      <w:tr w:rsidR="00733B5F" w14:paraId="32DB185C" w14:textId="77777777">
        <w:tc>
          <w:tcPr>
            <w:tcW w:w="0" w:type="auto"/>
          </w:tcPr>
          <w:p w14:paraId="23E7236B" w14:textId="77777777" w:rsidR="00733B5F" w:rsidRDefault="00000000">
            <w:pPr>
              <w:pStyle w:val="Compact"/>
            </w:pPr>
            <w:r>
              <w:t>Speculation</w:t>
            </w:r>
          </w:p>
        </w:tc>
        <w:tc>
          <w:tcPr>
            <w:tcW w:w="0" w:type="auto"/>
          </w:tcPr>
          <w:p w14:paraId="75467AD6" w14:textId="77777777" w:rsidR="00733B5F" w:rsidRDefault="00000000">
            <w:pPr>
              <w:pStyle w:val="Compact"/>
            </w:pPr>
            <w:r>
              <w:t>Is the claim logically possible?</w:t>
            </w:r>
          </w:p>
        </w:tc>
        <w:tc>
          <w:tcPr>
            <w:tcW w:w="0" w:type="auto"/>
          </w:tcPr>
          <w:p w14:paraId="2BE36213" w14:textId="77777777" w:rsidR="00733B5F" w:rsidRDefault="00000000">
            <w:pPr>
              <w:pStyle w:val="Compact"/>
            </w:pPr>
            <w:r>
              <w:t>Useful for generating alternatives</w:t>
            </w:r>
          </w:p>
        </w:tc>
        <w:tc>
          <w:tcPr>
            <w:tcW w:w="0" w:type="auto"/>
          </w:tcPr>
          <w:p w14:paraId="4D362FF8" w14:textId="77777777" w:rsidR="00733B5F" w:rsidRDefault="00000000">
            <w:pPr>
              <w:pStyle w:val="Compact"/>
            </w:pPr>
            <w:r>
              <w:t>Possibility alone is not evidentiary support</w:t>
            </w:r>
          </w:p>
        </w:tc>
      </w:tr>
    </w:tbl>
    <w:p w14:paraId="1A423E0B" w14:textId="77777777" w:rsidR="00733B5F" w:rsidRDefault="00000000">
      <w:pPr>
        <w:pStyle w:val="BodyText"/>
      </w:pPr>
      <w:r>
        <w:t>The governing principle is symmetry. Conventional claims do not receive a pass because they are conventional, and alternative claims do not receive a pass because they challenge authority. The same questions apply to both: What exactly is predicted? What result would count against the claim? Can independent observers reproduce the result? What assumptions are required? Does the explanation work only for the selected case, or does it generalize?</w:t>
      </w:r>
    </w:p>
    <w:p w14:paraId="7A52DD72" w14:textId="77777777" w:rsidR="00733B5F" w:rsidRDefault="00000000">
      <w:pPr>
        <w:pStyle w:val="BodyText"/>
      </w:pPr>
      <w:r>
        <w:t>Falsifiability is useful here, though not sufficient by itself. Popper's demarcation argument emphasized that scientific statements must conflict with at least some conceivable observations; a framework that can accommodate every possible outcome cannot be strongly tested (Hansson, 2025). Contemporary philosophy of science also recognizes that real experiments involve auxiliary assumptions, instrumentation, and possible error, so a single anomaly does not automatically destroy a mature theory. The practical criterion used here is therefore stronger: rival models should make risky, discriminating predictions, and repeated failures should not be indefinitely repaired with ad hoc exceptions.</w:t>
      </w:r>
    </w:p>
    <w:p w14:paraId="58065A1F" w14:textId="77777777" w:rsidR="00733B5F" w:rsidRDefault="00000000">
      <w:pPr>
        <w:pStyle w:val="Heading2"/>
      </w:pPr>
      <w:bookmarkStart w:id="6" w:name="Xee2338b2da7ed18b052f5e473aaf67183ef489b"/>
      <w:r>
        <w:t>2.1 Defining the Contemporary Flat Earth Model</w:t>
      </w:r>
    </w:p>
    <w:p w14:paraId="06BC2CE9" w14:textId="77777777" w:rsidR="00733B5F" w:rsidRDefault="00000000">
      <w:pPr>
        <w:pStyle w:val="FirstParagraph"/>
      </w:pPr>
      <w:r>
        <w:t>Before evaluating any claim, this paper follows the Horizon Watch working principle that a fair investigation must test the strongest available version of a position rather than a caricature of it (Horizon Watch, 2026). Contemporary Flat Earth advocacy is not a single doctrine, and individual proponents differ on mechanism and detail. The most widely circulated contemporary model, however, shares a common core that this paper treats as its object of analysis throughout:</w:t>
      </w:r>
    </w:p>
    <w:p w14:paraId="7C138B5B" w14:textId="77777777" w:rsidR="00733B5F" w:rsidRDefault="00000000">
      <w:pPr>
        <w:pStyle w:val="Compact"/>
        <w:numPr>
          <w:ilvl w:val="0"/>
          <w:numId w:val="2"/>
        </w:numPr>
      </w:pPr>
      <w:r>
        <w:t>Earth as a bounded plane or disk rather than a sphere or ellipsoid</w:t>
      </w:r>
    </w:p>
    <w:p w14:paraId="14D6226A" w14:textId="77777777" w:rsidR="00733B5F" w:rsidRDefault="00000000">
      <w:pPr>
        <w:pStyle w:val="Compact"/>
        <w:numPr>
          <w:ilvl w:val="0"/>
          <w:numId w:val="2"/>
        </w:numPr>
      </w:pPr>
      <w:r>
        <w:t>The North Pole situated near the center of the disk</w:t>
      </w:r>
    </w:p>
    <w:p w14:paraId="75F2F5D3" w14:textId="77777777" w:rsidR="00733B5F" w:rsidRDefault="00000000">
      <w:pPr>
        <w:pStyle w:val="Compact"/>
        <w:numPr>
          <w:ilvl w:val="0"/>
          <w:numId w:val="2"/>
        </w:numPr>
      </w:pPr>
      <w:r>
        <w:t>Antarctica reconceived as an ice perimeter encircling the disk’s edge rather than a polar continent</w:t>
      </w:r>
    </w:p>
    <w:p w14:paraId="04CD9E23" w14:textId="77777777" w:rsidR="00733B5F" w:rsidRDefault="00000000">
      <w:pPr>
        <w:pStyle w:val="Compact"/>
        <w:numPr>
          <w:ilvl w:val="0"/>
          <w:numId w:val="2"/>
        </w:numPr>
      </w:pPr>
      <w:r>
        <w:t>The Sun and Moon as relatively small, local bodies moving in circuits above the plane</w:t>
      </w:r>
    </w:p>
    <w:p w14:paraId="5F384934" w14:textId="77777777" w:rsidR="00733B5F" w:rsidRDefault="00000000">
      <w:pPr>
        <w:pStyle w:val="Compact"/>
        <w:numPr>
          <w:ilvl w:val="0"/>
          <w:numId w:val="2"/>
        </w:numPr>
      </w:pPr>
      <w:r>
        <w:t>Rejection of a conventional gravitational and orbital model in favor of alternative mechanisms for weight and motion</w:t>
      </w:r>
    </w:p>
    <w:p w14:paraId="0D5D3B57" w14:textId="77777777" w:rsidR="00733B5F" w:rsidRDefault="00000000">
      <w:pPr>
        <w:pStyle w:val="Compact"/>
        <w:numPr>
          <w:ilvl w:val="0"/>
          <w:numId w:val="2"/>
        </w:numPr>
      </w:pPr>
      <w:r>
        <w:t>Alternative, non-axial-tilt explanations for seasonal change</w:t>
      </w:r>
    </w:p>
    <w:p w14:paraId="4CBA3E37" w14:textId="77777777" w:rsidR="00733B5F" w:rsidRDefault="00000000">
      <w:pPr>
        <w:pStyle w:val="Compact"/>
        <w:numPr>
          <w:ilvl w:val="0"/>
          <w:numId w:val="2"/>
        </w:numPr>
      </w:pPr>
      <w:r>
        <w:t>Alternative optical or mechanical explanations for lunar and solar eclipses</w:t>
      </w:r>
    </w:p>
    <w:p w14:paraId="1FF19402" w14:textId="77777777" w:rsidR="00733B5F" w:rsidRDefault="00000000">
      <w:pPr>
        <w:pStyle w:val="Compact"/>
        <w:numPr>
          <w:ilvl w:val="0"/>
          <w:numId w:val="2"/>
        </w:numPr>
      </w:pPr>
      <w:r>
        <w:t>Categorical distrust of NASA, other space agencies, and orbital imagery</w:t>
      </w:r>
    </w:p>
    <w:p w14:paraId="11C7C3E8" w14:textId="77777777" w:rsidR="00733B5F" w:rsidRDefault="00000000">
      <w:pPr>
        <w:pStyle w:val="Compact"/>
        <w:numPr>
          <w:ilvl w:val="0"/>
          <w:numId w:val="2"/>
        </w:numPr>
      </w:pPr>
      <w:r>
        <w:t>Claims that international treaty and military arrangements restrict independent verification of Antarctic geography</w:t>
      </w:r>
    </w:p>
    <w:p w14:paraId="37B35115" w14:textId="77777777" w:rsidR="00733B5F" w:rsidRDefault="00000000">
      <w:pPr>
        <w:pStyle w:val="Compact"/>
        <w:numPr>
          <w:ilvl w:val="0"/>
          <w:numId w:val="2"/>
        </w:numPr>
      </w:pPr>
      <w:r>
        <w:t>Claims that horizon behavior, curvature measurements, and long-distance visibility are inconsistent with a globe</w:t>
      </w:r>
    </w:p>
    <w:p w14:paraId="753A5623" w14:textId="77777777" w:rsidR="00733B5F" w:rsidRDefault="00000000">
      <w:pPr>
        <w:pStyle w:val="FirstParagraph"/>
      </w:pPr>
      <w:r>
        <w:lastRenderedPageBreak/>
        <w:t>Each of these components reappears in the chapters that follow and is evaluated on its own evidentiary merits rather than dismissed by association with the model as a whole.</w:t>
      </w:r>
    </w:p>
    <w:p w14:paraId="5A076FCE" w14:textId="77777777" w:rsidR="00733B5F" w:rsidRDefault="00000000">
      <w:pPr>
        <w:pStyle w:val="Heading2"/>
      </w:pPr>
      <w:bookmarkStart w:id="7" w:name="the-original-working-hierarchy"/>
      <w:bookmarkEnd w:id="6"/>
      <w:r>
        <w:t>2.2 The Original Working Hierarchy</w:t>
      </w:r>
    </w:p>
    <w:p w14:paraId="6A590BAC" w14:textId="77777777" w:rsidR="00733B5F" w:rsidRDefault="00000000">
      <w:pPr>
        <w:pStyle w:val="FirstParagraph"/>
      </w:pPr>
      <w:r>
        <w:t>The Horizon Watch working outline that originated this investigation proposed a seven-level evidentiary ladder, reproduced here before this paper’s revised treatment of evidence as a set of dimensions rather than a strict hierarchy (Horizon Watch, 2026):</w:t>
      </w:r>
    </w:p>
    <w:p w14:paraId="7521BD84" w14:textId="77777777" w:rsidR="00733B5F" w:rsidRDefault="00000000">
      <w:pPr>
        <w:pStyle w:val="BlockText"/>
      </w:pPr>
      <w:r>
        <w:t>Level 1 - Directly observable: things that can personally be seen or measured.</w:t>
      </w:r>
    </w:p>
    <w:p w14:paraId="2A7070B5" w14:textId="77777777" w:rsidR="00733B5F" w:rsidRDefault="00000000">
      <w:pPr>
        <w:pStyle w:val="BlockText"/>
      </w:pPr>
      <w:r>
        <w:t>Level 2 - Independently reproducible: experiments other people can repeat.</w:t>
      </w:r>
    </w:p>
    <w:p w14:paraId="36A09E0E" w14:textId="77777777" w:rsidR="00733B5F" w:rsidRDefault="00000000">
      <w:pPr>
        <w:pStyle w:val="BlockText"/>
      </w:pPr>
      <w:r>
        <w:t>Level 3 - Predictive: models capable of making accurate predictions before the event occurs.</w:t>
      </w:r>
    </w:p>
    <w:p w14:paraId="4ADC51CE" w14:textId="77777777" w:rsidR="00733B5F" w:rsidRDefault="00000000">
      <w:pPr>
        <w:pStyle w:val="BlockText"/>
      </w:pPr>
      <w:r>
        <w:t>Level 4 - Inferential: conclusions derived mathematically or logically from observation.</w:t>
      </w:r>
    </w:p>
    <w:p w14:paraId="013B3A0F" w14:textId="77777777" w:rsidR="00733B5F" w:rsidRDefault="00000000">
      <w:pPr>
        <w:pStyle w:val="BlockText"/>
      </w:pPr>
      <w:r>
        <w:t>Level 5 - Institutional: claims dependent primarily on trust in an organization or authority.</w:t>
      </w:r>
    </w:p>
    <w:p w14:paraId="582F0C57" w14:textId="77777777" w:rsidR="00733B5F" w:rsidRDefault="00000000">
      <w:pPr>
        <w:pStyle w:val="BlockText"/>
      </w:pPr>
      <w:r>
        <w:t>Level 6 - Anecdotal: personal testimony that cannot easily be independently verified.</w:t>
      </w:r>
    </w:p>
    <w:p w14:paraId="1FF95CF8" w14:textId="77777777" w:rsidR="00733B5F" w:rsidRDefault="00000000">
      <w:pPr>
        <w:pStyle w:val="BlockText"/>
      </w:pPr>
      <w:r>
        <w:t>Level 7 - Speculative: possible explanations lacking independent evidence.</w:t>
      </w:r>
    </w:p>
    <w:p w14:paraId="3C706299" w14:textId="77777777" w:rsidR="00733B5F" w:rsidRDefault="00000000">
      <w:pPr>
        <w:pStyle w:val="FirstParagraph"/>
      </w:pPr>
      <w:r>
        <w:t>This paper preserves the working outline’s caution against treating institutional or anecdotal evidence as automatically weaker than direct observation, while retaining its central discipline: every claim, wherever it sits, must be traced back to something that was actually measured, observed, or reproduced.</w:t>
      </w:r>
    </w:p>
    <w:p w14:paraId="3E834C84" w14:textId="77777777" w:rsidR="00733B5F" w:rsidRDefault="00000000">
      <w:pPr>
        <w:pStyle w:val="Heading1"/>
      </w:pPr>
      <w:bookmarkStart w:id="8" w:name="Xcde05561f91434f38aba851c5c92c3513ab3396"/>
      <w:bookmarkEnd w:id="5"/>
      <w:bookmarkEnd w:id="7"/>
      <w:r>
        <w:t>3. The Columbus Classroom Story and the Institutionalization of Error</w:t>
      </w:r>
    </w:p>
    <w:p w14:paraId="4E1B41FD" w14:textId="77777777" w:rsidR="00733B5F" w:rsidRDefault="00000000">
      <w:pPr>
        <w:pStyle w:val="FirstParagraph"/>
      </w:pPr>
      <w:r>
        <w:t>The claim that Columbus proved a flat world was spherical is historically untenable in the simplified form familiar from popular education. Ancient Greek scholars discussed a spherical Earth long before the fifteenth century, and Eratosthenes produced a celebrated estimate of Earth's circumference in the third century BCE. Carman and Evans (2015) note that Eratosthenes' measurement is the earliest for which significant details survive, while Matthew's recent book-length reassessment places the calculation in the broader context of Hellenistic astronomy and shows that the attempt was based on comparative solar-shadow geometry (Matthew, 2023).</w:t>
      </w:r>
    </w:p>
    <w:p w14:paraId="06BF5F2E" w14:textId="77777777" w:rsidR="00733B5F" w:rsidRDefault="00000000">
      <w:pPr>
        <w:pStyle w:val="BodyText"/>
      </w:pPr>
      <w:r>
        <w:t>The Columbus dispute was therefore not a simple contest between a heroic round-Earth navigator and flat-Earth scholars. The central practical issue was distance. Columbus adopted a circumference and Eurasian extent that made Asia appear much closer by sailing west than it actually is. Matthew (2023) explicitly connects the history of circumference estimates to Columbus's later geographical reasoning. The significance for this paper is not merely that a childhood story was wrong. It is that the incorrect version was narratively efficient: progress could be dramatized as one courageous individual defeating medieval ignorance.</w:t>
      </w:r>
    </w:p>
    <w:p w14:paraId="76B31A22" w14:textId="77777777" w:rsidR="00733B5F" w:rsidRDefault="00000000">
      <w:pPr>
        <w:pStyle w:val="BodyText"/>
      </w:pPr>
      <w:r>
        <w:t xml:space="preserve">Washington Irving played an important role in popularizing that dramatic framing. His Life and Voyages of Christopher Columbus became enormously influential, and the Library of Congress preserves an 1844 edition identified on its title page as "abridged and arranged by the author </w:t>
      </w:r>
      <w:r>
        <w:lastRenderedPageBreak/>
        <w:t>expressly for the use of schools" (Irving, 1844). Jeffrey Burton Russell's historical study, Inventing the Flat Earth, traces how the notion of a medieval flat-Earth consensus was amplified by nineteenth- and twentieth-century writers, textbooks, teachers, and historians (Russell, 1991/1997). Christine Garwood (2007) likewise argues that the popular Columbus myth is historically backwards: educated spherical-Earth traditions long predated Columbus, while organized modern flat-Earth advocacy became particularly visible in the nineteenth century.</w:t>
      </w:r>
    </w:p>
    <w:p w14:paraId="4FFE93EB" w14:textId="77777777" w:rsidR="00733B5F" w:rsidRDefault="00000000">
      <w:pPr>
        <w:pStyle w:val="BodyText"/>
      </w:pPr>
      <w:r>
        <w:t>The relevant lesson is narrower than "schools lie." There is no need to posit a coordinated conspiracy to explain the transmission of the myth. A compelling narrative can be copied, simplified, standardized, and repeated by institutions whose participants believe it. Once embedded in curricular culture, a falsehood can acquire the appearance of settled fact through repetition alone.</w:t>
      </w:r>
    </w:p>
    <w:p w14:paraId="747D8B17" w14:textId="77777777" w:rsidR="00733B5F" w:rsidRDefault="00000000">
      <w:pPr>
        <w:pStyle w:val="BodyText"/>
      </w:pPr>
      <w:r>
        <w:t>That distinction matters because repetition itself affects perceived truth. A meta-analysis of 51 studies documents an "illusory truth" effect in which repetition increases subjective truth ratings even though repetition does not improve a claim's evidentiary basis (Dechêne et al., 2010). In institutional settings, repetition is additionally reinforced by authority, assessment, and social consensus. The Columbus story therefore functions as a useful exhibit for the Horizon Watch thesis: false information can become institutionalized without requiring a secret plan, and the later discovery of such an error can produce justified local skepticism while also creating an opportunity for unjustified global distrust.</w:t>
      </w:r>
    </w:p>
    <w:p w14:paraId="0F4DE0B4" w14:textId="77777777" w:rsidR="00733B5F" w:rsidRDefault="00000000">
      <w:pPr>
        <w:pStyle w:val="Heading1"/>
      </w:pPr>
      <w:bookmarkStart w:id="9" w:name="why-the-earth-looks-flat-at-human-scale"/>
      <w:bookmarkEnd w:id="8"/>
      <w:r>
        <w:t>4. Why the Earth Looks Flat at Human Scale</w:t>
      </w:r>
    </w:p>
    <w:p w14:paraId="39B209DF" w14:textId="77777777" w:rsidR="00733B5F" w:rsidRDefault="00000000">
      <w:pPr>
        <w:pStyle w:val="FirstParagraph"/>
      </w:pPr>
      <w:r>
        <w:t>A rigorous investigation should concede the obvious observation rather than ridicule it: from ordinary human scale, the Earth usually looks flat. A person standing on a beach sees a horizon that appears straight. Buildings look vertical. Water looks level. The surface does not appear to move beneath the observer. These are genuine observations. The inferential error occurs when "I do not visually perceive curvature" is treated as equivalent to "there is no curvature."</w:t>
      </w:r>
    </w:p>
    <w:p w14:paraId="7E31777D" w14:textId="77777777" w:rsidR="00733B5F" w:rsidRDefault="00000000">
      <w:pPr>
        <w:pStyle w:val="BodyText"/>
      </w:pPr>
      <w:r>
        <w:t>The expected curvature is small at human scale because Earth's radius is large relative to observer height and ordinary viewing distances. For an ideal spherical Earth with radius R and an eye height h that is tiny relative to R, the geometric distance to the horizon is approximately d = sqrt(2Rh). Using R about 6,371 km and h about 1.83 m (six feet) gives a geometric horizon of roughly 4.8 km, or about 2.6 nautical miles, before atmospheric refraction is considered. This means the observer is not looking across a dramatically arcing surface. The line of sight is nearly tangent to an enormous radius.</w:t>
      </w:r>
    </w:p>
    <w:p w14:paraId="4AC2018D" w14:textId="77777777" w:rsidR="00733B5F" w:rsidRDefault="00000000">
      <w:pPr>
        <w:pStyle w:val="BodyText"/>
      </w:pPr>
      <w:r>
        <w:t>The maritime navigation tradition explicitly treats height of eye, horizon dip, refraction, geographic range, and radar horizon as operational quantities. The National Geospatial-Intelligence Agency's American Practical Navigator includes horizon and vertical-angle calculations as standard navigational material (National Geospatial-Intelligence Agency [NGA], 2024). This is important epistemically because such procedures did not arise as illustrations for a space-age worldview. They arose from practical navigation, where prediction errors can be measured against observations.</w:t>
      </w:r>
    </w:p>
    <w:p w14:paraId="0FC263E7" w14:textId="77777777" w:rsidR="00733B5F" w:rsidRDefault="00000000">
      <w:pPr>
        <w:pStyle w:val="BodyText"/>
      </w:pPr>
      <w:r>
        <w:t>A flat appearance therefore has low discriminatory value. Both a very large sphere and a plane can look locally flat over short distances. A strong test must seek observations for which the models predict meaningfully different results.</w:t>
      </w:r>
    </w:p>
    <w:p w14:paraId="2F7F5B0D" w14:textId="77777777" w:rsidR="00733B5F" w:rsidRDefault="00000000">
      <w:pPr>
        <w:pStyle w:val="Heading1"/>
      </w:pPr>
      <w:bookmarkStart w:id="10" w:name="the-horizon-as-a-mariners-laboratory"/>
      <w:bookmarkEnd w:id="9"/>
      <w:r>
        <w:lastRenderedPageBreak/>
        <w:t>5. The Horizon as a Mariner's Laboratory</w:t>
      </w:r>
    </w:p>
    <w:p w14:paraId="43D4DC29" w14:textId="77777777" w:rsidR="00733B5F" w:rsidRDefault="00000000">
      <w:pPr>
        <w:pStyle w:val="FirstParagraph"/>
      </w:pPr>
      <w:r>
        <w:t>The horizon is often treated as visual proof by both sides, but it is better understood as an optical-geometric system. Three variables matter immediately: observer height, target height, and atmospheric refractive structure. On a curved surface, increasing height of eye increases horizon distance and decreases the angular depression of the geometric horizon relative to a local horizontal reference. The American Practical Navigator defines dip as the vertical angle between the observer's horizontal and the visible horizon and notes that terrestrial refraction changes the observed dip (Bowditch-derived navigation doctrine; NGA, 2024).</w:t>
      </w:r>
    </w:p>
    <w:p w14:paraId="580EF3F3" w14:textId="77777777" w:rsidR="00733B5F" w:rsidRDefault="00000000">
      <w:pPr>
        <w:pStyle w:val="BodyText"/>
      </w:pPr>
      <w:r>
        <w:t>The familiar "ship disappearing hull first" observation is consistent with a curved surface, but it should not be overstated as a single decisive proof. Waves, visibility, target geometry, magnification, and refraction matter. A better experimental design fixes those variables and records target height, observer height, meteorological conditions, and distance. Repeated observations across different heights and ranges can then be compared with competing geometric predictions.</w:t>
      </w:r>
    </w:p>
    <w:p w14:paraId="50B19010" w14:textId="77777777" w:rsidR="00733B5F" w:rsidRDefault="00000000">
      <w:pPr>
        <w:pStyle w:val="BodyText"/>
      </w:pPr>
      <w:r>
        <w:t>Atmospheric refraction is especially important because the refractive index of air varies with pressure, temperature, and humidity. Temperature inversions can bend rays downward more strongly than under a standard atmosphere, producing looming or superior-mirage conditions in which distant objects appear higher or become visible beyond their usual optical horizon. This is not an embarrassment for the globe model; it is an expected optical complication that must be modeled. It also illustrates a broader epistemic rule: an anomalous observation is not automatically evidence for the most radical alternative if a known variable was not controlled.</w:t>
      </w:r>
    </w:p>
    <w:p w14:paraId="46F08709" w14:textId="77777777" w:rsidR="00733B5F" w:rsidRDefault="00000000">
      <w:pPr>
        <w:pStyle w:val="BodyText"/>
      </w:pPr>
      <w:r>
        <w:t>Long-distance photographs are therefore evidentially weak when presented without metadata. A photograph may be genuine while the interpretation is wrong. A distant skyline visible "too far" can be scientifically interesting, but the next step is not to infer a plane. The next step is to measure the refractive environment, true line-of-sight elevations, lens properties, observer and target heights, and repeated visibility over time. The decisive question remains: which model predicts the distribution of results under changing conditions?</w:t>
      </w:r>
    </w:p>
    <w:p w14:paraId="14793A37" w14:textId="77777777" w:rsidR="00733B5F" w:rsidRDefault="00000000">
      <w:pPr>
        <w:pStyle w:val="Heading1"/>
      </w:pPr>
      <w:bookmarkStart w:id="11" w:name="navigation-without-nasa"/>
      <w:bookmarkEnd w:id="10"/>
      <w:r>
        <w:t>6. Navigation Without NASA</w:t>
      </w:r>
    </w:p>
    <w:p w14:paraId="09BB1093" w14:textId="77777777" w:rsidR="00733B5F" w:rsidRDefault="00000000">
      <w:pPr>
        <w:pStyle w:val="FirstParagraph"/>
      </w:pPr>
      <w:r>
        <w:t>A central strength of the maritime approach is that Earth's geometry can be tested without using orbital photographs, satellite telemetry, or trust in a space agency. Classical navigation uses angular astronomy and geometry that predate NASA by centuries. The American Practical Navigator notes that latitude observations based on the Sun and Polaris were known to early navigators, and its celestial-navigation procedures continue to use the relationship between celestial altitude and geographic position (NGA, 2024).</w:t>
      </w:r>
    </w:p>
    <w:p w14:paraId="68777A8B" w14:textId="77777777" w:rsidR="00733B5F" w:rsidRDefault="00000000">
      <w:pPr>
        <w:pStyle w:val="BodyText"/>
      </w:pPr>
      <w:r>
        <w:t>In the Northern Hemisphere, the altitude of Polaris, after small corrections because the star is not exactly at the north celestial pole, closely tracks the observer's latitude. A navigator moving north sees Polaris rise; moving south sees it descend toward the horizon. This is not merely a qualitative story. The relationship is sufficiently stable to produce navigational latitude. A flat-disk model can attempt to reproduce selected angular changes by assigning finite heights and paths to the stars, but it must then also account for the angular behavior of the southern sky, the disappearance of northern stars below the horizon, and the geometry of simultaneously observed celestial bodies from widely separated locations.</w:t>
      </w:r>
    </w:p>
    <w:p w14:paraId="4AA5079A" w14:textId="77777777" w:rsidR="00733B5F" w:rsidRDefault="00000000">
      <w:pPr>
        <w:pStyle w:val="BodyText"/>
      </w:pPr>
      <w:r>
        <w:lastRenderedPageBreak/>
        <w:t>Longitude and route planning add another layer. On a globe, meridians converge toward the poles, and east-west distance per degree of longitude decreases with latitude approximately as the cosine of latitude on a spherical approximation. Great-circle paths are geodesics on the sphere and differ from rhumb lines, which maintain constant compass bearing. Mercator projection preserves local angles but distorts area and distance toward high latitudes. These are not decorative mathematical choices. They predict route lengths, headings, and chart behavior used operationally by ships and aircraft.</w:t>
      </w:r>
    </w:p>
    <w:p w14:paraId="3821885F" w14:textId="77777777" w:rsidR="00733B5F" w:rsidRDefault="00000000">
      <w:pPr>
        <w:pStyle w:val="BodyText"/>
      </w:pPr>
      <w:r>
        <w:t>The evidentiary significance lies in consilience. A navigator can derive latitude from celestial observations, compare that latitude with terrestrial position, plan routes using globe-based geometry, and observe that the results cohere across oceans and hemispheres. A single flat map can be drawn to preserve some distances or directions, but no planar projection preserves all global distances, bearings, areas, and angles simultaneously. That is a mathematical property of mapping a curved surface onto a plane, not an institutional assertion.</w:t>
      </w:r>
    </w:p>
    <w:p w14:paraId="79796DCA" w14:textId="77777777" w:rsidR="00733B5F" w:rsidRDefault="00000000">
      <w:pPr>
        <w:pStyle w:val="BodyText"/>
      </w:pPr>
      <w:r>
        <w:t>This creates a powerful standard for Flat Earth alternatives: produce one explicit map with a scale, coordinate transformation, and predictive equations that correctly reproduce worldwide marine distances, celestial angles, sunrise and sunset geometry, and seasonal daylight. Without such a model, isolated objections to globe navigation do not constitute an alternative navigation system.</w:t>
      </w:r>
    </w:p>
    <w:p w14:paraId="4275D0F3" w14:textId="77777777" w:rsidR="00733B5F" w:rsidRDefault="00000000">
      <w:pPr>
        <w:pStyle w:val="Heading1"/>
      </w:pPr>
      <w:bookmarkStart w:id="12" w:name="Xbba0116c8eacb3bc953b03eb0c4571aa83b9d5c"/>
      <w:bookmarkEnd w:id="11"/>
      <w:r>
        <w:t>7. The Southern Hemisphere as a Discriminating Test</w:t>
      </w:r>
    </w:p>
    <w:p w14:paraId="3CDDC9C7" w14:textId="77777777" w:rsidR="00733B5F" w:rsidRDefault="00000000">
      <w:pPr>
        <w:pStyle w:val="FirstParagraph"/>
      </w:pPr>
      <w:r>
        <w:t>The Southern Hemisphere is unusually difficult for the common north-pole-centered Flat Earth disk. On such a map, lines of longitude spread farther apart as they move southward, whereas on a globe they converge again toward the South Pole. That difference is not philosophical; it produces large disagreements in predicted distance.</w:t>
      </w:r>
    </w:p>
    <w:p w14:paraId="2392A66B" w14:textId="77777777" w:rsidR="00733B5F" w:rsidRDefault="00000000">
      <w:pPr>
        <w:pStyle w:val="BodyText"/>
      </w:pPr>
      <w:r>
        <w:t>Actual navigation among southern South America, southern Africa, Australia, New Zealand, and Antarctic approaches is therefore a critical test. A model that expands southern circumferences dramatically should predict route lengths and travel times that diverge from globe-based calculations. Yet vessels and aircraft routinely plan and complete southern routes using globally consistent coordinate systems. One need not assume that every reported journey is true; the point is that commercial and scientific operations create dense, repeated, cross-institutional distance constraints.</w:t>
      </w:r>
    </w:p>
    <w:p w14:paraId="4C072984" w14:textId="77777777" w:rsidR="00733B5F" w:rsidRDefault="00000000">
      <w:pPr>
        <w:pStyle w:val="BodyText"/>
      </w:pPr>
      <w:r>
        <w:t>The sky provides an independent geometric test. Observers in the Southern Hemisphere see stars rotate around a southern celestial pole, and the direction of apparent rotation is opposite that seen around the north celestial pole when viewed from their respective hemispheres. The altitude of the celestial pole again varies systematically with latitude. A north-pole-centered flat disk must explain why widely separated southern observers, looking in different outward directions on the disk, perceive a common southern rotational center with consistent angular behavior.</w:t>
      </w:r>
    </w:p>
    <w:p w14:paraId="49D09434" w14:textId="77777777" w:rsidR="00733B5F" w:rsidRDefault="00000000">
      <w:pPr>
        <w:pStyle w:val="BodyText"/>
      </w:pPr>
      <w:r>
        <w:t>Seasonal daylight compounds the problem. High southern latitudes experience very long summer days and polar-day conditions near and within the Antarctic Circle, while high northern latitudes experience the corresponding pattern six months out of phase. Globe geometry with an axial tilt predicts this symmetry quantitatively. A local-sun Flat Earth model must reproduce simultaneously the observed angular size of the Sun, its track, day length at many latitudes, opposite seasons, and the geometry of sunrise and sunset. Qualitative animations are not enough; the model must predict times and angles before observation.</w:t>
      </w:r>
    </w:p>
    <w:p w14:paraId="61D27444" w14:textId="77777777" w:rsidR="00733B5F" w:rsidRDefault="00000000">
      <w:pPr>
        <w:pStyle w:val="BodyText"/>
      </w:pPr>
      <w:r>
        <w:lastRenderedPageBreak/>
        <w:t>For this reason, the Southern Hemisphere is not merely another piece of evidence. It is a stress test for model coherence. Explanations that appear plausible when only northern observations are considered often become mutually incompatible when southern geometry is included.</w:t>
      </w:r>
    </w:p>
    <w:p w14:paraId="61C34BB0" w14:textId="77777777" w:rsidR="00733B5F" w:rsidRDefault="00000000">
      <w:pPr>
        <w:pStyle w:val="Heading1"/>
      </w:pPr>
      <w:bookmarkStart w:id="13" w:name="water-level-gravity-and-the-geoid"/>
      <w:bookmarkEnd w:id="12"/>
      <w:r>
        <w:t>8. Water, Level, Gravity, and the Geoid</w:t>
      </w:r>
    </w:p>
    <w:p w14:paraId="1C3B89DD" w14:textId="77777777" w:rsidR="00733B5F" w:rsidRDefault="00000000">
      <w:pPr>
        <w:pStyle w:val="FirstParagraph"/>
      </w:pPr>
      <w:r>
        <w:t>"Water always finds its level" is one of the most intuitively powerful Flat Earth arguments because the word level is commonly heard as synonymous with flat. In surveying and geodesy, however, level refers to a surface perpendicular to the local gravity vector, not to an infinite Euclidean plane.</w:t>
      </w:r>
    </w:p>
    <w:p w14:paraId="33249E7B" w14:textId="77777777" w:rsidR="00733B5F" w:rsidRDefault="00000000">
      <w:pPr>
        <w:pStyle w:val="BodyText"/>
      </w:pPr>
      <w:r>
        <w:t>NOAA's National Geodetic Survey defines the geoid as the equipotential surface of Earth's gravity field that best fits global mean sea level (National Geodetic Survey [NGS], 2001). The geoid is not a perfect sphere; Earth's rotation, mass distribution, topography, and density variations produce departures from a simple reference ellipsoid. This nuance is important because "globe" in scientific geodesy does not mean a perfectly smooth ball. Global position is commonly modeled using an ellipsoid, while physically meaningful heights relate to gravity-defined surfaces.</w:t>
      </w:r>
    </w:p>
    <w:p w14:paraId="1EE09B32" w14:textId="77777777" w:rsidR="00733B5F" w:rsidRDefault="00000000">
      <w:pPr>
        <w:pStyle w:val="BodyText"/>
      </w:pPr>
      <w:r>
        <w:t>A spirit level aligns to the local direction of gravity. Two spirit levels placed far apart can each be locally horizontal even though their horizontal planes are not parallel in three-dimensional space. On a large spherical or ellipsoidal body, "level" therefore changes orientation continuously with location. The apparent paradox disappears once local tangent geometry is distinguished from global shape.</w:t>
      </w:r>
    </w:p>
    <w:p w14:paraId="29AE7DB8" w14:textId="77777777" w:rsidR="00733B5F" w:rsidRDefault="00000000">
      <w:pPr>
        <w:pStyle w:val="BodyText"/>
      </w:pPr>
      <w:r>
        <w:t>Large lakes, canals, and sea surfaces are not ideal rigid geometric objects. Winds, pressure, density, tides, currents, and gravity anomalies produce real departures from simple surfaces. That complexity does not make geometry untestable; it explains why high-precision geodesy uses reference ellipsoids, gravity models, benchmarks, leveling networks, and long-duration averaging. The relevant Flat Earth claim is not that water is locally level - it is. The stronger claim is that local levelness requires global planarity. That inference is false.</w:t>
      </w:r>
    </w:p>
    <w:p w14:paraId="2619CA4C" w14:textId="77777777" w:rsidR="00733B5F" w:rsidRDefault="00000000">
      <w:pPr>
        <w:pStyle w:val="Heading1"/>
      </w:pPr>
      <w:bookmarkStart w:id="14" w:name="can-we-detect-earths-rotation"/>
      <w:bookmarkEnd w:id="13"/>
      <w:r>
        <w:t>9. Can We Detect Earth's Rotation?</w:t>
      </w:r>
    </w:p>
    <w:p w14:paraId="46727FE7" w14:textId="77777777" w:rsidR="00733B5F" w:rsidRDefault="00000000">
      <w:pPr>
        <w:pStyle w:val="FirstParagraph"/>
      </w:pPr>
      <w:r>
        <w:t>The intuition "if Earth were moving, we would feel it" confuses velocity with acceleration and ignores the difference between uniform motion and changes in motion. People in a steadily moving ship or aircraft do not feel translational speed directly; they feel accelerations, vibrations, and changes in orientation. Earth's rotation does produce measurable accelerative effects, but at human scale many are subtle.</w:t>
      </w:r>
    </w:p>
    <w:p w14:paraId="31A1A6E6" w14:textId="77777777" w:rsidR="00733B5F" w:rsidRDefault="00000000">
      <w:pPr>
        <w:pStyle w:val="BodyText"/>
      </w:pPr>
      <w:r>
        <w:t>The stronger question is not whether rotation feels intuitive. It is whether rotation can be measured from the ground. Foucault's 1851 pendulum experiment provided a direct terrestrial demonstration: the plane of oscillation precesses relative to Earth's surface at a rate dependent on latitude. Sommeria's historical review describes the experiment and its replication, including the latitude dependence of the precession (Sommeria, 2017). The global pattern is critical: the effect changes with latitude and reverses sense between hemispheres, approaching zero at the equator.</w:t>
      </w:r>
    </w:p>
    <w:p w14:paraId="218C8133" w14:textId="77777777" w:rsidR="00733B5F" w:rsidRDefault="00000000">
      <w:pPr>
        <w:pStyle w:val="BodyText"/>
      </w:pPr>
      <w:r>
        <w:lastRenderedPageBreak/>
        <w:t>Modern gyroscopes provide a technologically independent test. Optical ring-laser gyroscopes use the Sagnac effect to measure rotation. Lai et al. (2020) reported Earth rotation measured with a chip-scale ring laser gyroscope, while larger geodetic ring lasers are used for high-sensitivity rotation measurements. This is not an argument from a single institution or image. It is an instrumentally reproducible physical effect with applications in navigation and geodesy.</w:t>
      </w:r>
    </w:p>
    <w:p w14:paraId="26454B7C" w14:textId="77777777" w:rsidR="00733B5F" w:rsidRDefault="00000000">
      <w:pPr>
        <w:pStyle w:val="BodyText"/>
      </w:pPr>
      <w:r>
        <w:t>Flat Earth discussions sometimes cite gyroscope measurements as though the mere detection of approximately 15 degrees per hour could be reinterpreted as motion of the heavens. That move avoids the decisive requirement: an alternative model must predict the instrument's output from the instrument's local physical coupling, including orientation and latitude dependence, without assuming the rotating reference frame that the measurement is designed to detect. Re-labeling the observation is not yet a competing mechanism.</w:t>
      </w:r>
    </w:p>
    <w:p w14:paraId="4B6D923D" w14:textId="77777777" w:rsidR="00733B5F" w:rsidRDefault="00000000">
      <w:pPr>
        <w:pStyle w:val="Heading1"/>
      </w:pPr>
      <w:bookmarkStart w:id="15" w:name="Xdd2c2faeca172d80b68aa5ab83404dff9c117ff"/>
      <w:bookmarkEnd w:id="14"/>
      <w:r>
        <w:t>10. Sun, Moon, Stars, and the Burden of Quantitative Prediction</w:t>
      </w:r>
    </w:p>
    <w:p w14:paraId="458FFEDC" w14:textId="77777777" w:rsidR="00733B5F" w:rsidRDefault="00000000">
      <w:pPr>
        <w:pStyle w:val="FirstParagraph"/>
      </w:pPr>
      <w:r>
        <w:t>The night sky is powerful evidence because it supplies repeated, time-dependent geometry from many locations. Any viable world model must account for sunrise and sunset azimuths, solar altitude, seasonal day length, equinoxes and solstices, lunar phases, eclipse timing, star trails, celestial-pole altitude, and the different constellations visible from different latitudes.</w:t>
      </w:r>
    </w:p>
    <w:p w14:paraId="40310973" w14:textId="77777777" w:rsidR="00733B5F" w:rsidRDefault="00000000">
      <w:pPr>
        <w:pStyle w:val="BodyText"/>
      </w:pPr>
      <w:r>
        <w:t>A recurring methodological error is to ask only whether a Flat Earth mechanism can be imagined for each observation. A finite local Sun can be invoked for daylight; perspective can be invoked for sunset; a separate shadow object can be invoked for lunar eclipses; atmospheric optics can be invoked for horizon effects. But scientific model comparison asks whether the same geometry and the same parameters predict all observations together. Every additional mechanism must be specified quantitatively and must survive tests outside the case it was introduced to explain.</w:t>
      </w:r>
    </w:p>
    <w:p w14:paraId="34445E37" w14:textId="77777777" w:rsidR="00733B5F" w:rsidRDefault="00000000">
      <w:pPr>
        <w:pStyle w:val="BodyText"/>
      </w:pPr>
      <w:r>
        <w:t>This is where predictive astronomy is especially demanding. Nautical almanacs permit celestial positions to be calculated in advance. Mariners can reduce sights from Sun, stars, planets, and Moon to lines of position. Eclipses can be predicted in time and geographic visibility. The globe-based celestial framework is not accepted merely because an authority says it is true; its equations repeatedly generate successful predictions.</w:t>
      </w:r>
    </w:p>
    <w:p w14:paraId="3DDF2ADD" w14:textId="77777777" w:rsidR="00733B5F" w:rsidRDefault="00000000">
      <w:pPr>
        <w:pStyle w:val="BodyText"/>
      </w:pPr>
      <w:r>
        <w:t>The appropriate alternative is therefore not a collection of explanatory sketches. It is a complete ephemeris-producing model. A Flat Earth system should state the three-dimensional positions and motions of the Sun, Moon, and stars; specify how perspective and refraction operate; and then predict angular observations for arbitrary coordinates and times. To date, contemporary Flat Earth advocacy has not produced a single widely accepted quantitative model that performs this task across the full data set.</w:t>
      </w:r>
    </w:p>
    <w:p w14:paraId="357C33AE" w14:textId="77777777" w:rsidR="00733B5F" w:rsidRDefault="00000000">
      <w:pPr>
        <w:pStyle w:val="Heading1"/>
      </w:pPr>
      <w:bookmarkStart w:id="16" w:name="X269a34f7a31bbb35d68164d60f0531a0c08f264"/>
      <w:bookmarkEnd w:id="15"/>
      <w:r>
        <w:t>11. Antarctica: Regulation Is Not a Perimeter Wall</w:t>
      </w:r>
    </w:p>
    <w:p w14:paraId="78D77A6A" w14:textId="77777777" w:rsidR="00733B5F" w:rsidRDefault="00000000">
      <w:pPr>
        <w:pStyle w:val="FirstParagraph"/>
      </w:pPr>
      <w:r>
        <w:t xml:space="preserve">Antarctica occupies a central place in many modern Flat Earth models because a north-pole-centered disk requires the southern boundary to function as a perimeter. Claims often assert that the Antarctic Treaty prohibits independent travel, that military forces guard an ice wall, or </w:t>
      </w:r>
      <w:r>
        <w:lastRenderedPageBreak/>
        <w:t>that circumnavigation is impossible or fraudulent. These claims mix real regulation with unsupported extrapolation.</w:t>
      </w:r>
    </w:p>
    <w:p w14:paraId="7D803D66" w14:textId="77777777" w:rsidR="00733B5F" w:rsidRDefault="00000000">
      <w:pPr>
        <w:pStyle w:val="BodyText"/>
      </w:pPr>
      <w:r>
        <w:t>The Antarctic Treaty, signed in 1959 and in force since 1961, reserves Antarctica for peaceful purposes and preserves freedom of scientific investigation (Antarctic Treaty Secretariat [ATS], 1959/2026). Article VII establishes an inspection regime in which designated observers from Consultative Parties have freedom of access for treaty inspections, including stations and relevant ships and aircraft. This provision does not grant every private traveler unrestricted access to every place; environmental law, protected areas, logistics, national authorization, and safety requirements remain real. But it is incompatible with the simple claim that the treaty's purpose is to prohibit observation of a guarded world boundary.</w:t>
      </w:r>
    </w:p>
    <w:p w14:paraId="3BC06CDD" w14:textId="77777777" w:rsidR="00733B5F" w:rsidRDefault="00000000">
      <w:pPr>
        <w:pStyle w:val="BodyText"/>
      </w:pPr>
      <w:r>
        <w:t>Tourism provides additional evidence. The International Association of Antarctica Tour Operators reports large numbers of annual visitors traveling on seaborne and deep-field expeditions; its 2024 tourism FAQ reported more than 100,000 travelers with IAATO members in the 2022-23 season, including cruise-only and landing passengers (IAATO, 2024). Tourism is regulated because Antarctica is remote and environmentally sensitive, not because civilian presence is categorically prohibited.</w:t>
      </w:r>
    </w:p>
    <w:p w14:paraId="601D2908" w14:textId="77777777" w:rsidR="00733B5F" w:rsidRDefault="00000000">
      <w:pPr>
        <w:pStyle w:val="BodyText"/>
      </w:pPr>
      <w:r>
        <w:t>A rigorous analysis should nevertheless avoid the opposite exaggeration. Antarctica is not an unrestricted public park. Treaty parties implement environmental protocols and domestic permitting systems. Some areas are protected, weather and sea ice constrain access, emergency response is difficult, and costs are substantial. These genuine restrictions can look suspicious when presented without context. The empirical question is whether those restrictions are better explained by environmental governance and operational risk or by a globally coordinated effort to conceal a perimeter wall.</w:t>
      </w:r>
    </w:p>
    <w:p w14:paraId="59BC1470" w14:textId="77777777" w:rsidR="00733B5F" w:rsidRDefault="00000000">
      <w:pPr>
        <w:pStyle w:val="BodyText"/>
      </w:pPr>
      <w:r>
        <w:t>The globe model predicts Antarctica as a continent surrounding the South Pole, with route distances, coastal geography, seasonal daylight, and converging meridians consistent with southern navigation. The perimeter model predicts radically different circumferences and route relationships. The existence of multinational stations, mapped coastlines, cruises, yachts, scientific traverses, and repeated logistics operations creates a large network of independent constraints. An ice-wall hypothesis must explain not merely one controlled expedition but the continued consistency of this distributed geography.</w:t>
      </w:r>
    </w:p>
    <w:p w14:paraId="1F68E22F" w14:textId="77777777" w:rsidR="00733B5F" w:rsidRDefault="00000000">
      <w:pPr>
        <w:pStyle w:val="Heading1"/>
      </w:pPr>
      <w:bookmarkStart w:id="17" w:name="X864f98bf51dcba0721156f8028526f51ac528b3"/>
      <w:bookmarkEnd w:id="16"/>
      <w:r>
        <w:t>12. The Strongest Flat Earth Claims and Their Failure Modes</w:t>
      </w:r>
    </w:p>
    <w:p w14:paraId="15B9E238" w14:textId="77777777" w:rsidR="00733B5F" w:rsidRDefault="00000000">
      <w:pPr>
        <w:pStyle w:val="FirstParagraph"/>
      </w:pPr>
      <w:r>
        <w:t>A fair investigation should evaluate the strongest arguments rather than caricatures. Several recurring claims deserve serious attention precisely because they begin from valid observations.</w:t>
      </w:r>
    </w:p>
    <w:p w14:paraId="17283A37" w14:textId="77777777" w:rsidR="00733B5F" w:rsidRDefault="00000000">
      <w:pPr>
        <w:pStyle w:val="Heading2"/>
      </w:pPr>
      <w:bookmarkStart w:id="18" w:name="long-distance-visibility"/>
      <w:r>
        <w:t>12.1 Long-distance visibility</w:t>
      </w:r>
    </w:p>
    <w:p w14:paraId="7D4E0879" w14:textId="77777777" w:rsidR="00733B5F" w:rsidRDefault="00000000">
      <w:pPr>
        <w:pStyle w:val="FirstParagraph"/>
      </w:pPr>
      <w:r>
        <w:t>Claim: distant objects are sometimes visible when simple curvature calculators say they should be hidden. Assessment: the observation may be genuine, but simple calculators often assume a spherical surface, geometric ray paths, specified observer and target heights, and no unusual refraction. Temperature inversions can significantly alter visibility. A decisive experiment requires atmospheric profiling, repeat observations, surveyed heights, and predicted visibility bands under both models. The error is not in reporting an anomalous view; it is in treating one optical condition as direct measurement of global geometry.</w:t>
      </w:r>
    </w:p>
    <w:p w14:paraId="35A80883" w14:textId="77777777" w:rsidR="00733B5F" w:rsidRDefault="00000000">
      <w:pPr>
        <w:pStyle w:val="Heading2"/>
      </w:pPr>
      <w:bookmarkStart w:id="19" w:name="X1cce5c4d22c9a2cd32adc733810576c536b06d8"/>
      <w:bookmarkEnd w:id="18"/>
      <w:r>
        <w:lastRenderedPageBreak/>
        <w:t>12.2 Bedford Level and laser-over-water experiments</w:t>
      </w:r>
    </w:p>
    <w:p w14:paraId="0A5B5B7D" w14:textId="77777777" w:rsidR="00733B5F" w:rsidRDefault="00000000">
      <w:pPr>
        <w:pStyle w:val="FirstParagraph"/>
      </w:pPr>
      <w:r>
        <w:t>Claim: long, flat waterways or laser paths show no curvature. Assessment: such experiments can be informative but are unusually sensitive to refraction because the line of sight travels close to water, where vertical temperature gradients can be strong. Historical Bedford Level controversies are instructive because different observers obtained different results depending on experimental geometry and controls (Garwood, 2007). A modern replication should elevate the optical path, measure temperature gradients, use multiple target heights, and preregister predictions.</w:t>
      </w:r>
    </w:p>
    <w:p w14:paraId="6DD19257" w14:textId="77777777" w:rsidR="00733B5F" w:rsidRDefault="00000000">
      <w:pPr>
        <w:pStyle w:val="Heading2"/>
      </w:pPr>
      <w:bookmarkStart w:id="20" w:name="the-horizon-appears-at-eye-level"/>
      <w:bookmarkEnd w:id="19"/>
      <w:r>
        <w:t>12.3 The horizon appears at eye level</w:t>
      </w:r>
    </w:p>
    <w:p w14:paraId="1BE7FBD5" w14:textId="77777777" w:rsidR="00733B5F" w:rsidRDefault="00000000">
      <w:pPr>
        <w:pStyle w:val="FirstParagraph"/>
      </w:pPr>
      <w:r>
        <w:t>Claim: a globe requires the horizon to drop dramatically below eye level, yet it appears level even from altitude. Assessment: the angular dip is small at ordinary heights and must be measured against a true horizontal reference, not the centerline of a handheld camera or the intuitive visual field. Lens distortion and aircraft attitude matter. This is a measurement problem, not a naked-eye binary.</w:t>
      </w:r>
    </w:p>
    <w:p w14:paraId="2DB4E755" w14:textId="77777777" w:rsidR="00733B5F" w:rsidRDefault="00000000">
      <w:pPr>
        <w:pStyle w:val="Heading2"/>
      </w:pPr>
      <w:bookmarkStart w:id="21" w:name="Xe3e4d5733276d5e7f7709c6b1ce0387983b2be6"/>
      <w:bookmarkEnd w:id="20"/>
      <w:r>
        <w:t>12.4 High-altitude imagery shows inconsistent curvature</w:t>
      </w:r>
    </w:p>
    <w:p w14:paraId="101B7043" w14:textId="77777777" w:rsidR="00733B5F" w:rsidRDefault="00000000">
      <w:pPr>
        <w:pStyle w:val="FirstParagraph"/>
      </w:pPr>
      <w:r>
        <w:t>Claim: some high-altitude cameras show strong curvature while others show little, proving manipulation. Assessment: wide-angle and fisheye lenses can strongly distort straight or curved lines depending on where they fall in the frame. Conversely, correcting distortion can reduce apparent curvature. The fact that imagery can be manipulated is therefore a reason to downgrade photographs as standalone proof - a point the Horizon Watch outline correctly emphasizes - but it does not follow that all images are fabricated. Geometry should be established with methods that do not depend on photographic trust.</w:t>
      </w:r>
    </w:p>
    <w:p w14:paraId="07AE7FA7" w14:textId="77777777" w:rsidR="00733B5F" w:rsidRDefault="00000000">
      <w:pPr>
        <w:pStyle w:val="Heading2"/>
      </w:pPr>
      <w:bookmarkStart w:id="22" w:name="we-do-not-feel-motion"/>
      <w:bookmarkEnd w:id="21"/>
      <w:r>
        <w:t>12.5 "We do not feel motion"</w:t>
      </w:r>
    </w:p>
    <w:p w14:paraId="4C63DDD1" w14:textId="77777777" w:rsidR="00733B5F" w:rsidRDefault="00000000">
      <w:pPr>
        <w:pStyle w:val="FirstParagraph"/>
      </w:pPr>
      <w:r>
        <w:t>Claim: a rapidly moving and rotating Earth should produce an obvious sensation. Assessment: sensation is not a direct speedometer. Stable translational motion is not felt without acceleration; rotational effects are measurable but relatively small at human scale. Foucault precession, Coriolis phenomena, gyroscopic rotation sensing, and the oblate figure of Earth provide measurable consequences independent of subjective sensation.</w:t>
      </w:r>
    </w:p>
    <w:p w14:paraId="2E4184F3" w14:textId="77777777" w:rsidR="00733B5F" w:rsidRDefault="00000000">
      <w:pPr>
        <w:pStyle w:val="Heading2"/>
      </w:pPr>
      <w:bookmarkStart w:id="23" w:name="antarctic-restrictions"/>
      <w:bookmarkEnd w:id="22"/>
      <w:r>
        <w:t>12.6 Antarctic restrictions</w:t>
      </w:r>
    </w:p>
    <w:p w14:paraId="229638F1" w14:textId="77777777" w:rsidR="00733B5F" w:rsidRDefault="00000000">
      <w:pPr>
        <w:pStyle w:val="FirstParagraph"/>
      </w:pPr>
      <w:r>
        <w:t>Claim: the Treaty closes Antarctica to conceal the edge. Assessment: regulations are real, but their contents and observed practice do not support categorical closure. Scientific programs, inspections, tourism, private expeditions subject to national rules, and repeated vessel operations are inconsistent with a simple guarded-perimeter narrative. The burden therefore shifts to the conspiracy claim to explain how these activities can occur without producing contradictory geography.</w:t>
      </w:r>
    </w:p>
    <w:p w14:paraId="78134725" w14:textId="77777777" w:rsidR="00733B5F" w:rsidRDefault="00000000">
      <w:pPr>
        <w:pStyle w:val="Heading1"/>
      </w:pPr>
      <w:bookmarkStart w:id="24" w:name="X651ed513b86e906eca69ffcee2ac70f4b2f67af"/>
      <w:bookmarkEnd w:id="17"/>
      <w:bookmarkEnd w:id="23"/>
      <w:r>
        <w:lastRenderedPageBreak/>
        <w:t>13. NASA Is Not the Globe: Distributed Evidence and Image Skepticism</w:t>
      </w:r>
    </w:p>
    <w:p w14:paraId="169D4F3B" w14:textId="77777777" w:rsidR="00733B5F" w:rsidRDefault="00000000">
      <w:pPr>
        <w:pStyle w:val="FirstParagraph"/>
      </w:pPr>
      <w:r>
        <w:t>Flat Earth arguments frequently concentrate on NASA because photographic anomalies, image compositing, green-screen techniques, and public distrust of government create a rhetorically accessible target. The strongest response is not to insist that every NASA image must be trusted. It is to remove NASA from the foundational argument.</w:t>
      </w:r>
    </w:p>
    <w:p w14:paraId="2BF5366B" w14:textId="77777777" w:rsidR="00733B5F" w:rsidRDefault="00000000">
      <w:pPr>
        <w:pStyle w:val="BodyText"/>
      </w:pPr>
      <w:r>
        <w:t>Even if every orbital photograph were excluded, Earth's geometry would still be constrained by mariners, surveyors, astronomers, timekeeping, radio propagation, geodesy, long-baseline measurements, aviation, independent national space programs, private satellite operators, and terrestrial rotation experiments. These domains use different instruments, incentives, organizations, and methods. Their measurements are not perfectly independent in every technical sense, but they are institutionally and operationally distributed enough that the shape question is not reducible to the credibility of one agency.</w:t>
      </w:r>
    </w:p>
    <w:p w14:paraId="7935723F" w14:textId="77777777" w:rsidR="00733B5F" w:rsidRDefault="00000000">
      <w:pPr>
        <w:pStyle w:val="BodyText"/>
      </w:pPr>
      <w:r>
        <w:t>The Horizon Watch outline makes a valuable logical point: evidence that fakery is possible is not evidence that a particular item was faked. Digital images can be composited, enhanced, stitched, colorized, geometrically corrected, or rendered from data. Scientific visualization often involves processing because raw sensor measurements are not identical to human vision. The proper question is whether processing is disclosed and whether the underlying measurements can be independently validated.</w:t>
      </w:r>
    </w:p>
    <w:p w14:paraId="126CD0C1" w14:textId="77777777" w:rsidR="00733B5F" w:rsidRDefault="00000000">
      <w:pPr>
        <w:pStyle w:val="BodyText"/>
      </w:pPr>
      <w:r>
        <w:t>Image skepticism is therefore healthy up to the point where it becomes unfalsifiable. If an image supporting the globe is defined as fake because it supports the globe, while any image that appears flat is treated as authentic because it supports Flat Earth, the evidentiary rule has become circular. Symmetrical skepticism requires provenance and independent cross-checks for both.</w:t>
      </w:r>
    </w:p>
    <w:p w14:paraId="739124F2" w14:textId="77777777" w:rsidR="00733B5F" w:rsidRDefault="00000000">
      <w:pPr>
        <w:pStyle w:val="Heading1"/>
      </w:pPr>
      <w:bookmarkStart w:id="25" w:name="X14394a8bbeed57f70175d0ad6c1a1ceec058a8e"/>
      <w:bookmarkEnd w:id="24"/>
      <w:r>
        <w:t>14. Conspiracy Logistics and Operational Sustainability</w:t>
      </w:r>
    </w:p>
    <w:p w14:paraId="224357E5" w14:textId="77777777" w:rsidR="00733B5F" w:rsidRDefault="00000000">
      <w:pPr>
        <w:pStyle w:val="FirstParagraph"/>
      </w:pPr>
      <w:r>
        <w:t>Large conspiracies are not impossible in principle. Governments classify programs; corporations conceal misconduct; institutions sometimes coordinate deception. It is therefore poor reasoning to dismiss a claim solely with "too many people would have to know." The stronger analysis asks what coordination the hypothesis actually requires and whether that coordination is operationally sustainable.</w:t>
      </w:r>
    </w:p>
    <w:p w14:paraId="0C8FA8F6" w14:textId="77777777" w:rsidR="00733B5F" w:rsidRDefault="00000000">
      <w:pPr>
        <w:pStyle w:val="BodyText"/>
      </w:pPr>
      <w:r>
        <w:t>A global Flat Earth concealment would involve far more than a few space agencies. It would require consistency among rival governments and militaries; national hydrographic offices; commercial shipping and aviation; celestial navigators; surveyors; geodesists; astronomical observatories; telecommunications engineers; satellite-service companies; Antarctic programs; universities; instrument manufacturers; and independent amateurs capable of observing celestial and radio phenomena. The participants would not merely need to repeat a slogan. They would need to preserve mutually consistent false coordinate systems, route distances, timing systems, celestial tables, gravity models, and instrument calibrations while producing operational results that work in practice.</w:t>
      </w:r>
    </w:p>
    <w:p w14:paraId="7E51A4C1" w14:textId="77777777" w:rsidR="00733B5F" w:rsidRDefault="00000000">
      <w:pPr>
        <w:pStyle w:val="BodyText"/>
      </w:pPr>
      <w:r>
        <w:t xml:space="preserve">The distinction is between conspirability and sustainability. A deception may be theoretically imaginable but become increasingly implausible as the number of independent predictive </w:t>
      </w:r>
      <w:r>
        <w:lastRenderedPageBreak/>
        <w:t>systems it must coordinate grows. Conspiracy theories often respond by expanding the conspiracy whenever an independent line of evidence appears. That move preserves logical possibility but reduces testability: every potential falsifier becomes another alleged participant.</w:t>
      </w:r>
    </w:p>
    <w:p w14:paraId="1D2A7395" w14:textId="77777777" w:rsidR="00733B5F" w:rsidRDefault="00000000">
      <w:pPr>
        <w:pStyle w:val="BodyText"/>
      </w:pPr>
      <w:r>
        <w:t>A more disciplined approach assigns costs to auxiliary assumptions. If a model requires that every discrepant measurement be caused by refraction, every southern route record be fraudulent, every independent gyroscope be misinterpreted, every astronomical prediction be reverse-engineered, and every Antarctic traveler remain within a controlled illusion, its explanatory complexity becomes enormous. Model comparison favors the framework that explains the same observations with fewer special exceptions.</w:t>
      </w:r>
    </w:p>
    <w:p w14:paraId="00A0CB2A" w14:textId="77777777" w:rsidR="00733B5F" w:rsidRDefault="00000000">
      <w:pPr>
        <w:pStyle w:val="Heading1"/>
      </w:pPr>
      <w:bookmarkStart w:id="26" w:name="X92fc7ce35dbea77cb19bf84e12d94582deb9fba"/>
      <w:bookmarkEnd w:id="25"/>
      <w:r>
        <w:t>15. Institutional Failure, Epistemic Trust, and the Disinformation Vacuum</w:t>
      </w:r>
    </w:p>
    <w:p w14:paraId="339EA7EE" w14:textId="77777777" w:rsidR="00733B5F" w:rsidRDefault="00000000">
      <w:pPr>
        <w:pStyle w:val="FirstParagraph"/>
      </w:pPr>
      <w:r>
        <w:t>The most consequential part of the Flat Earth investigation may have little to do with Earth's geometry. Contemporary conspiracy research repeatedly links conspiracy belief with trust dynamics. Brauner et al. (2023) found that conspiracy mentality was associated with epistemic mistrust and, importantly, with a combination in which mistrust can coexist with credulity toward unreliable sources. Mari et al. (2022), using cross-national survey data, found that conspiracy beliefs were associated with lower institutional trust, though the causal relationship between distrust and conspiracy belief can be complex and bidirectional. Recent longitudinal work likewise cautions against a simple one-way story (Adamus et al., 2026).</w:t>
      </w:r>
    </w:p>
    <w:p w14:paraId="689D2C9A" w14:textId="77777777" w:rsidR="00733B5F" w:rsidRDefault="00000000">
      <w:pPr>
        <w:pStyle w:val="BodyText"/>
      </w:pPr>
      <w:r>
        <w:t>Flat Earth provides a particularly clear mechanism for what this paper calls the disinformation vacuum. The sequence can begin with a real failure. A person discovers that a trusted source oversimplified the Columbus story, misstated a scientific issue, concealed uncertainty, or dismissed a legitimate question. Trust declines. An alternative source then accurately identifies that failure. Because the alternative source was right about the first issue, credibility transfers to the source as a whole. Additional claims are accepted under reduced scrutiny.</w:t>
      </w:r>
    </w:p>
    <w:p w14:paraId="70C4FECD" w14:textId="77777777" w:rsidR="00733B5F" w:rsidRDefault="00000000">
      <w:pPr>
        <w:pStyle w:val="BodyText"/>
      </w:pPr>
      <w:r>
        <w:t>This is not irrational in its first step. Source reliability matters, and discovering an error should update confidence. The problem is overgeneralization. Reliability is domain-specific and claim-specific. A source can be correct about textbook mythology and wrong about celestial geometry. A government can lie about one event and publish accurate tide predictions. A conspiracy-oriented investigator can discover a real archival error and then make a false physical inference. A respected scientific institution can publish excellent measurements and communicate them badly.</w:t>
      </w:r>
    </w:p>
    <w:p w14:paraId="506FE161" w14:textId="77777777" w:rsidR="00733B5F" w:rsidRDefault="00000000">
      <w:pPr>
        <w:pStyle w:val="BodyText"/>
      </w:pPr>
      <w:r>
        <w:t>Fernbach and Bogard's (2024) analysis of conspiracy theory as individual and group behavior is relevant here because communities do not merely transmit propositions; they can create a shared sense of understanding and norms for interpreting contrary evidence. Pannofino (2024) similarly describes contemporary flat-earthism as a radical critique of socially legitimized epistemic institutions. That critique can feel empowering because it reframes distrust as independent investigation.</w:t>
      </w:r>
    </w:p>
    <w:p w14:paraId="6F261715" w14:textId="77777777" w:rsidR="00733B5F" w:rsidRDefault="00000000">
      <w:pPr>
        <w:pStyle w:val="BodyText"/>
      </w:pPr>
      <w:r>
        <w:t xml:space="preserve">The slogan "do your own research" contains a healthy principle and a hidden risk. Direct verification is valuable when the person has a method capable of testing the claim. But no individual can personally repeat every measurement in modern civilization. Mature epistemology therefore requires calibrated trust: knowing when to rely on expert systems, how to inspect </w:t>
      </w:r>
      <w:r>
        <w:lastRenderedPageBreak/>
        <w:t>methods and incentives, how to seek independent replication, and how to distinguish a claim's evidence from a source's social identity.</w:t>
      </w:r>
    </w:p>
    <w:p w14:paraId="23508075" w14:textId="77777777" w:rsidR="00733B5F" w:rsidRDefault="00000000">
      <w:pPr>
        <w:pStyle w:val="BodyText"/>
      </w:pPr>
      <w:r>
        <w:t>This produces the central Horizon Watch rule: authority is not evidence, but distrust is not evidence either. Both are contextual signals about where scrutiny should be applied. Neither determines the truth value of the next claim.</w:t>
      </w:r>
    </w:p>
    <w:p w14:paraId="625CDDD8" w14:textId="77777777" w:rsidR="00733B5F" w:rsidRDefault="00000000">
      <w:pPr>
        <w:pStyle w:val="Heading2"/>
      </w:pPr>
      <w:bookmarkStart w:id="27" w:name="the-disinformation-vacuum-mechanism"/>
      <w:r>
        <w:t>The disinformation-vacuum mechanism</w:t>
      </w:r>
    </w:p>
    <w:tbl>
      <w:tblPr>
        <w:tblStyle w:val="Table"/>
        <w:tblW w:w="4865" w:type="pct"/>
        <w:tblLook w:val="0020" w:firstRow="1" w:lastRow="0" w:firstColumn="0" w:lastColumn="0" w:noHBand="0" w:noVBand="0"/>
      </w:tblPr>
      <w:tblGrid>
        <w:gridCol w:w="352"/>
        <w:gridCol w:w="8755"/>
      </w:tblGrid>
      <w:tr w:rsidR="00733B5F" w14:paraId="3B779B27" w14:textId="77777777" w:rsidTr="00733B5F">
        <w:trPr>
          <w:cnfStyle w:val="100000000000" w:firstRow="1" w:lastRow="0" w:firstColumn="0" w:lastColumn="0" w:oddVBand="0" w:evenVBand="0" w:oddHBand="0" w:evenHBand="0" w:firstRowFirstColumn="0" w:firstRowLastColumn="0" w:lastRowFirstColumn="0" w:lastRowLastColumn="0"/>
          <w:tblHeader/>
        </w:trPr>
        <w:tc>
          <w:tcPr>
            <w:tcW w:w="0" w:type="auto"/>
          </w:tcPr>
          <w:p w14:paraId="1FB7A367" w14:textId="77777777" w:rsidR="00733B5F" w:rsidRDefault="00000000">
            <w:pPr>
              <w:pStyle w:val="Compact"/>
            </w:pPr>
            <w:r>
              <w:rPr>
                <w:color w:val="FFFFFF"/>
              </w:rPr>
              <w:t>1</w:t>
            </w:r>
          </w:p>
        </w:tc>
        <w:tc>
          <w:tcPr>
            <w:tcW w:w="0" w:type="auto"/>
          </w:tcPr>
          <w:p w14:paraId="63046A87" w14:textId="77777777" w:rsidR="00733B5F" w:rsidRDefault="00000000">
            <w:pPr>
              <w:pStyle w:val="Compact"/>
            </w:pPr>
            <w:r>
              <w:rPr>
                <w:color w:val="FFFFFF"/>
              </w:rPr>
              <w:t>Trusted institution transmits a false, simplified, or poorly supported claim.</w:t>
            </w:r>
          </w:p>
        </w:tc>
      </w:tr>
      <w:tr w:rsidR="00733B5F" w14:paraId="1DA799B9" w14:textId="77777777">
        <w:tc>
          <w:tcPr>
            <w:tcW w:w="0" w:type="auto"/>
          </w:tcPr>
          <w:p w14:paraId="76880666" w14:textId="77777777" w:rsidR="00733B5F" w:rsidRDefault="00000000">
            <w:pPr>
              <w:pStyle w:val="Compact"/>
            </w:pPr>
            <w:r>
              <w:t>2</w:t>
            </w:r>
          </w:p>
        </w:tc>
        <w:tc>
          <w:tcPr>
            <w:tcW w:w="0" w:type="auto"/>
          </w:tcPr>
          <w:p w14:paraId="5B6A7216" w14:textId="77777777" w:rsidR="00733B5F" w:rsidRDefault="00000000">
            <w:pPr>
              <w:pStyle w:val="Compact"/>
            </w:pPr>
            <w:r>
              <w:t>The person later discovers the error through independent research.</w:t>
            </w:r>
          </w:p>
        </w:tc>
      </w:tr>
      <w:tr w:rsidR="00733B5F" w14:paraId="0EB9CD87" w14:textId="77777777">
        <w:tc>
          <w:tcPr>
            <w:tcW w:w="0" w:type="auto"/>
          </w:tcPr>
          <w:p w14:paraId="41C11EFB" w14:textId="77777777" w:rsidR="00733B5F" w:rsidRDefault="00000000">
            <w:pPr>
              <w:pStyle w:val="Compact"/>
            </w:pPr>
            <w:r>
              <w:t>3</w:t>
            </w:r>
          </w:p>
        </w:tc>
        <w:tc>
          <w:tcPr>
            <w:tcW w:w="0" w:type="auto"/>
          </w:tcPr>
          <w:p w14:paraId="28CE55AE" w14:textId="77777777" w:rsidR="00733B5F" w:rsidRDefault="00000000">
            <w:pPr>
              <w:pStyle w:val="Compact"/>
            </w:pPr>
            <w:r>
              <w:t>Trust in the institution falls - sometimes appropriately.</w:t>
            </w:r>
          </w:p>
        </w:tc>
      </w:tr>
      <w:tr w:rsidR="00733B5F" w14:paraId="22693870" w14:textId="77777777">
        <w:tc>
          <w:tcPr>
            <w:tcW w:w="0" w:type="auto"/>
          </w:tcPr>
          <w:p w14:paraId="090E7B4E" w14:textId="77777777" w:rsidR="00733B5F" w:rsidRDefault="00000000">
            <w:pPr>
              <w:pStyle w:val="Compact"/>
            </w:pPr>
            <w:r>
              <w:t>4</w:t>
            </w:r>
          </w:p>
        </w:tc>
        <w:tc>
          <w:tcPr>
            <w:tcW w:w="0" w:type="auto"/>
          </w:tcPr>
          <w:p w14:paraId="0B9D08DA" w14:textId="77777777" w:rsidR="00733B5F" w:rsidRDefault="00000000">
            <w:pPr>
              <w:pStyle w:val="Compact"/>
            </w:pPr>
            <w:r>
              <w:t>An alternative source correctly explains the institutional error.</w:t>
            </w:r>
          </w:p>
        </w:tc>
      </w:tr>
      <w:tr w:rsidR="00733B5F" w14:paraId="1E927670" w14:textId="77777777">
        <w:tc>
          <w:tcPr>
            <w:tcW w:w="0" w:type="auto"/>
          </w:tcPr>
          <w:p w14:paraId="39A6DEBB" w14:textId="77777777" w:rsidR="00733B5F" w:rsidRDefault="00000000">
            <w:pPr>
              <w:pStyle w:val="Compact"/>
            </w:pPr>
            <w:r>
              <w:t>5</w:t>
            </w:r>
          </w:p>
        </w:tc>
        <w:tc>
          <w:tcPr>
            <w:tcW w:w="0" w:type="auto"/>
          </w:tcPr>
          <w:p w14:paraId="51BB6EB2" w14:textId="77777777" w:rsidR="00733B5F" w:rsidRDefault="00000000">
            <w:pPr>
              <w:pStyle w:val="Compact"/>
            </w:pPr>
            <w:r>
              <w:t>Credibility transfers from the successful correction to the source more generally.</w:t>
            </w:r>
          </w:p>
        </w:tc>
      </w:tr>
      <w:tr w:rsidR="00733B5F" w14:paraId="7F7C11B1" w14:textId="77777777">
        <w:tc>
          <w:tcPr>
            <w:tcW w:w="0" w:type="auto"/>
          </w:tcPr>
          <w:p w14:paraId="73D65D02" w14:textId="77777777" w:rsidR="00733B5F" w:rsidRDefault="00000000">
            <w:pPr>
              <w:pStyle w:val="Compact"/>
            </w:pPr>
            <w:r>
              <w:t>6</w:t>
            </w:r>
          </w:p>
        </w:tc>
        <w:tc>
          <w:tcPr>
            <w:tcW w:w="0" w:type="auto"/>
          </w:tcPr>
          <w:p w14:paraId="01BB0A05" w14:textId="77777777" w:rsidR="00733B5F" w:rsidRDefault="00000000">
            <w:pPr>
              <w:pStyle w:val="Compact"/>
            </w:pPr>
            <w:r>
              <w:t>The source introduces additional claims supported by weaker evidence.</w:t>
            </w:r>
          </w:p>
        </w:tc>
      </w:tr>
      <w:tr w:rsidR="00733B5F" w14:paraId="3A338C80" w14:textId="77777777">
        <w:tc>
          <w:tcPr>
            <w:tcW w:w="0" w:type="auto"/>
          </w:tcPr>
          <w:p w14:paraId="55BFB620" w14:textId="77777777" w:rsidR="00733B5F" w:rsidRDefault="00000000">
            <w:pPr>
              <w:pStyle w:val="Compact"/>
            </w:pPr>
            <w:r>
              <w:t>7</w:t>
            </w:r>
          </w:p>
        </w:tc>
        <w:tc>
          <w:tcPr>
            <w:tcW w:w="0" w:type="auto"/>
          </w:tcPr>
          <w:p w14:paraId="36BAE016" w14:textId="77777777" w:rsidR="00733B5F" w:rsidRDefault="00000000">
            <w:pPr>
              <w:pStyle w:val="Compact"/>
            </w:pPr>
            <w:r>
              <w:t>The new claims receive less scrutiny because the source has already "proved" itself.</w:t>
            </w:r>
          </w:p>
        </w:tc>
      </w:tr>
      <w:tr w:rsidR="00733B5F" w14:paraId="29D422CF" w14:textId="77777777">
        <w:tc>
          <w:tcPr>
            <w:tcW w:w="0" w:type="auto"/>
          </w:tcPr>
          <w:p w14:paraId="66A1E28A" w14:textId="77777777" w:rsidR="00733B5F" w:rsidRDefault="00000000">
            <w:pPr>
              <w:pStyle w:val="Compact"/>
            </w:pPr>
            <w:r>
              <w:t>8</w:t>
            </w:r>
          </w:p>
        </w:tc>
        <w:tc>
          <w:tcPr>
            <w:tcW w:w="0" w:type="auto"/>
          </w:tcPr>
          <w:p w14:paraId="6B7CB261" w14:textId="77777777" w:rsidR="00733B5F" w:rsidRDefault="00000000">
            <w:pPr>
              <w:pStyle w:val="Compact"/>
            </w:pPr>
            <w:r>
              <w:t>Correct criticism and unsupported conclusions become psychologically bundled.</w:t>
            </w:r>
          </w:p>
        </w:tc>
      </w:tr>
    </w:tbl>
    <w:p w14:paraId="4A482482" w14:textId="77777777" w:rsidR="00733B5F" w:rsidRDefault="00000000">
      <w:pPr>
        <w:pStyle w:val="Heading2"/>
      </w:pPr>
      <w:bookmarkStart w:id="28" w:name="the-rhetorical-shortcut-everybody-knows"/>
      <w:bookmarkEnd w:id="27"/>
      <w:r>
        <w:t>The Rhetorical Shortcut: “Everybody Knows…”</w:t>
      </w:r>
    </w:p>
    <w:p w14:paraId="4CAD69BD" w14:textId="77777777" w:rsidR="00733B5F" w:rsidRDefault="00000000">
      <w:pPr>
        <w:pStyle w:val="FirstParagraph"/>
      </w:pPr>
      <w:r>
        <w:t>The Horizon Watch working outline isolates a single phrase as a warning sign in any investigation: “Everybody knows…” (Horizon Watch, 2026). The phrase is interchangeable with its content:</w:t>
      </w:r>
    </w:p>
    <w:p w14:paraId="33BE61AF" w14:textId="77777777" w:rsidR="00733B5F" w:rsidRDefault="00000000">
      <w:pPr>
        <w:pStyle w:val="BlockText"/>
      </w:pPr>
      <w:r>
        <w:t>Everybody knows the Earth was thought flat until Columbus.</w:t>
      </w:r>
    </w:p>
    <w:p w14:paraId="29B6513D" w14:textId="77777777" w:rsidR="00733B5F" w:rsidRDefault="00000000">
      <w:pPr>
        <w:pStyle w:val="BlockText"/>
      </w:pPr>
      <w:r>
        <w:t>Everybody knows governments lie.</w:t>
      </w:r>
    </w:p>
    <w:p w14:paraId="525762C2" w14:textId="77777777" w:rsidR="00733B5F" w:rsidRDefault="00000000">
      <w:pPr>
        <w:pStyle w:val="BlockText"/>
      </w:pPr>
      <w:r>
        <w:t>Everybody knows scientists can be bought.</w:t>
      </w:r>
    </w:p>
    <w:p w14:paraId="7D747EE5" w14:textId="77777777" w:rsidR="00733B5F" w:rsidRDefault="00000000">
      <w:pPr>
        <w:pStyle w:val="BlockText"/>
      </w:pPr>
      <w:r>
        <w:t>Everybody knows NASA photographs are real.</w:t>
      </w:r>
    </w:p>
    <w:p w14:paraId="79350FE6" w14:textId="77777777" w:rsidR="00733B5F" w:rsidRDefault="00000000">
      <w:pPr>
        <w:pStyle w:val="BlockText"/>
      </w:pPr>
      <w:r>
        <w:t>Everybody knows NASA photographs are fake.</w:t>
      </w:r>
    </w:p>
    <w:p w14:paraId="03AFDC60" w14:textId="77777777" w:rsidR="00733B5F" w:rsidRDefault="00000000">
      <w:pPr>
        <w:pStyle w:val="BlockText"/>
      </w:pPr>
      <w:r>
        <w:t>Everybody knows ships disappear over the horizon because of curvature.</w:t>
      </w:r>
    </w:p>
    <w:p w14:paraId="0CA5FF0F" w14:textId="77777777" w:rsidR="00733B5F" w:rsidRDefault="00000000">
      <w:pPr>
        <w:pStyle w:val="BlockText"/>
      </w:pPr>
      <w:r>
        <w:t>Everybody knows atmospheric refraction explains it away.</w:t>
      </w:r>
    </w:p>
    <w:p w14:paraId="57368E0E" w14:textId="77777777" w:rsidR="00733B5F" w:rsidRDefault="00000000">
      <w:pPr>
        <w:pStyle w:val="FirstParagraph"/>
      </w:pPr>
      <w:r>
        <w:t>The phrase functions identically regardless of which side of a debate deploys it. Each version substitutes a claim of consensus for a demonstration of evidence. The appropriate response, in this paper’s framing and in the working outline’s, is the same in every case: show me the evidence. A claim’s popularity, or its status as common knowledge, is not itself a data point in the evidentiary dimensions developed in Section 2.</w:t>
      </w:r>
    </w:p>
    <w:p w14:paraId="62F4A459" w14:textId="77777777" w:rsidR="00733B5F" w:rsidRDefault="00000000">
      <w:pPr>
        <w:pStyle w:val="Heading1"/>
      </w:pPr>
      <w:bookmarkStart w:id="29" w:name="Xfd02401a271e33292b508a1d7eba3f6db474889"/>
      <w:bookmarkEnd w:id="26"/>
      <w:bookmarkEnd w:id="28"/>
      <w:r>
        <w:t>16. Falsifiability: What Would Change the Conclusion?</w:t>
      </w:r>
    </w:p>
    <w:p w14:paraId="5E51CE6F" w14:textId="77777777" w:rsidR="00733B5F" w:rsidRDefault="00000000">
      <w:pPr>
        <w:pStyle w:val="FirstParagraph"/>
      </w:pPr>
      <w:r>
        <w:t>A research program becomes scientifically weak when no conceivable observation can count against it. The most useful question to ask both a globe advocate and a Flat Earth advocate is therefore: what result would cause you to revise your model?</w:t>
      </w:r>
    </w:p>
    <w:p w14:paraId="03696BF1" w14:textId="77777777" w:rsidR="00733B5F" w:rsidRDefault="00000000">
      <w:pPr>
        <w:pStyle w:val="BodyText"/>
      </w:pPr>
      <w:r>
        <w:lastRenderedPageBreak/>
        <w:t>For the globe model, many potential falsifiers can be described. Systematic high-quality measurements could show that horizon geometry does not vary with height as predicted after refraction is controlled. Celestial-pole altitude could fail to track latitude. Southern route distances could systematically match a disk map rather than globe geodesics. Foucault precession could fail to show the predicted latitude pattern. Independent gyroscopes could fail to detect terrestrial rotation when properly isolated. Surveying networks could reveal a single global planar level surface incompatible with geodetic curvature. These would be extraordinary results and would force major revision.</w:t>
      </w:r>
    </w:p>
    <w:p w14:paraId="7E5EBA70" w14:textId="77777777" w:rsidR="00733B5F" w:rsidRDefault="00000000">
      <w:pPr>
        <w:pStyle w:val="BodyText"/>
      </w:pPr>
      <w:r>
        <w:t>For a Flat Earth model, the same discipline is required. It must identify a finite set of parameters and observations that could contradict it. If every contradictory southern distance is a fabrication, every contrary celestial observation is perspective, every gyroscope is measuring the sky, every image is fake, every Antarctic expedition is controlled, and every failed prediction can be repaired by a new mechanism, then the position ceases to operate as a risky empirical model.</w:t>
      </w:r>
    </w:p>
    <w:p w14:paraId="13235C3E" w14:textId="77777777" w:rsidR="00733B5F" w:rsidRDefault="00000000">
      <w:pPr>
        <w:pStyle w:val="BodyText"/>
      </w:pPr>
      <w:r>
        <w:t>This does not mean that one anomalous result should be ignored. Science advances by investigating anomalies. The distinction is between an anomaly that motivates a better experiment and an anomaly used as a permanent exemption from model testing. The correct response to "that result does not fit" is to improve measurement, identify uncertainty, and make the next prediction harder to evade.</w:t>
      </w:r>
    </w:p>
    <w:p w14:paraId="4E966C3F" w14:textId="77777777" w:rsidR="00733B5F" w:rsidRDefault="00000000">
      <w:pPr>
        <w:pStyle w:val="Heading1"/>
      </w:pPr>
      <w:bookmarkStart w:id="30" w:name="findings-and-discussion"/>
      <w:bookmarkEnd w:id="29"/>
      <w:r>
        <w:t>17. Findings and Discussion</w:t>
      </w:r>
    </w:p>
    <w:p w14:paraId="7BC38FCA" w14:textId="77777777" w:rsidR="00733B5F" w:rsidRDefault="00000000">
      <w:pPr>
        <w:pStyle w:val="FirstParagraph"/>
      </w:pPr>
      <w:r>
        <w:t>The investigation supports five major findings.</w:t>
      </w:r>
    </w:p>
    <w:p w14:paraId="18702F99" w14:textId="77777777" w:rsidR="00733B5F" w:rsidRDefault="00000000">
      <w:pPr>
        <w:pStyle w:val="BodyText"/>
      </w:pPr>
      <w:r>
        <w:t>First, the childhood Columbus narrative is substantially false as a general account of intellectual history. Knowledge of a spherical Earth long predates Columbus; Eratosthenes attempted a circumference measurement in antiquity; and the fifteenth-century dispute associated with Columbus was centrally about distance and Earth size, not whether ships would fall from an edge. Irving's school-oriented edition and later historiography demonstrate a plausible pathway by which a dramatic myth could become educationally institutionalized (Irving, 1844; Russell, 1991/1997; Matthew, 2023).</w:t>
      </w:r>
    </w:p>
    <w:p w14:paraId="22DEB3C3" w14:textId="77777777" w:rsidR="00733B5F" w:rsidRDefault="00000000">
      <w:pPr>
        <w:pStyle w:val="BodyText"/>
      </w:pPr>
      <w:r>
        <w:t>Second, ordinary visual experience is compatible with why Flat Earth intuition persists. At human scale Earth looks locally flat, water looks level, and rotation is not directly felt as speed. These intuitions are not stupid. They are simply underdetermining: the observations do not distinguish a plane from a body whose curvature is small at the scale being viewed.</w:t>
      </w:r>
    </w:p>
    <w:p w14:paraId="54A2F5A3" w14:textId="77777777" w:rsidR="00733B5F" w:rsidRDefault="00000000">
      <w:pPr>
        <w:pStyle w:val="BodyText"/>
      </w:pPr>
      <w:r>
        <w:t>Third, independent operational systems strongly favor globe geometry. Maritime horizon calculations, celestial navigation, latitude behavior, great-circle routing, convergence of longitude, southern celestial observations, geodesy, Foucault precession, and gyroscopic rotation measurements form a consilient network. The strength is not any single datum. It is that the same geometric framework predicts many unrelated observations without having to invent a new mechanism for each.</w:t>
      </w:r>
    </w:p>
    <w:p w14:paraId="0AB65818" w14:textId="77777777" w:rsidR="00733B5F" w:rsidRDefault="00000000">
      <w:pPr>
        <w:pStyle w:val="BodyText"/>
      </w:pPr>
      <w:r>
        <w:t>Fourth, several Flat Earth claims begin with real phenomena but fail at the interpretive step. Refraction is real. Image manipulation is real. Institutional error is real. Antarctic regulation is real. Government deception is historically real. None of those premises logically entails a flat world. The recurrent mistake is evidentiary transfer: proving that a source can be wrong is treated as proof that the alternative explanation is right.</w:t>
      </w:r>
    </w:p>
    <w:p w14:paraId="105E3716" w14:textId="77777777" w:rsidR="00733B5F" w:rsidRDefault="00000000">
      <w:pPr>
        <w:pStyle w:val="BodyText"/>
      </w:pPr>
      <w:r>
        <w:lastRenderedPageBreak/>
        <w:t>Fifth, the Flat Earth phenomenon is valuable as a study of trust. Recent research supports an association between conspiracy mentality, mistrust, source evaluation, and social knowledge processes (Brauner et al., 2023; Fernbach &amp; Bogard, 2024; Mari et al., 2022). The Horizon Watch "disinformation vacuum" hypothesis is therefore plausible as a conceptual mechanism, though it should be treated as a research hypothesis rather than as an established causal law. Institutional failures can reduce trust; an alternative source that correctly identifies a failure can gain credibility; and that credibility can then be overextended to weaker claims. Future empirical work could directly test this sequence.</w:t>
      </w:r>
    </w:p>
    <w:p w14:paraId="0973FA79" w14:textId="77777777" w:rsidR="00733B5F" w:rsidRDefault="00000000">
      <w:pPr>
        <w:pStyle w:val="BodyText"/>
      </w:pPr>
      <w:r>
        <w:rPr>
          <w:b/>
          <w:bCs/>
        </w:rPr>
        <w:t>Table 2. Comparative assessment of major evidence domains</w:t>
      </w:r>
    </w:p>
    <w:tbl>
      <w:tblPr>
        <w:tblStyle w:val="Table"/>
        <w:tblW w:w="4873" w:type="pct"/>
        <w:tblLook w:val="0020" w:firstRow="1" w:lastRow="0" w:firstColumn="0" w:lastColumn="0" w:noHBand="0" w:noVBand="0"/>
      </w:tblPr>
      <w:tblGrid>
        <w:gridCol w:w="1607"/>
        <w:gridCol w:w="2839"/>
        <w:gridCol w:w="2084"/>
        <w:gridCol w:w="2592"/>
      </w:tblGrid>
      <w:tr w:rsidR="00733B5F" w14:paraId="7F3AF618" w14:textId="77777777" w:rsidTr="00733B5F">
        <w:trPr>
          <w:cnfStyle w:val="100000000000" w:firstRow="1" w:lastRow="0" w:firstColumn="0" w:lastColumn="0" w:oddVBand="0" w:evenVBand="0" w:oddHBand="0" w:evenHBand="0" w:firstRowFirstColumn="0" w:firstRowLastColumn="0" w:lastRowFirstColumn="0" w:lastRowLastColumn="0"/>
          <w:tblHeader/>
        </w:trPr>
        <w:tc>
          <w:tcPr>
            <w:tcW w:w="0" w:type="auto"/>
          </w:tcPr>
          <w:p w14:paraId="415C9F44" w14:textId="77777777" w:rsidR="00733B5F" w:rsidRDefault="00000000">
            <w:pPr>
              <w:pStyle w:val="Compact"/>
            </w:pPr>
            <w:r>
              <w:rPr>
                <w:bCs/>
                <w:color w:val="FFFFFF"/>
              </w:rPr>
              <w:t>Evidence domain</w:t>
            </w:r>
          </w:p>
        </w:tc>
        <w:tc>
          <w:tcPr>
            <w:tcW w:w="0" w:type="auto"/>
          </w:tcPr>
          <w:p w14:paraId="1956CD18" w14:textId="77777777" w:rsidR="00733B5F" w:rsidRDefault="00000000">
            <w:pPr>
              <w:pStyle w:val="Compact"/>
            </w:pPr>
            <w:r>
              <w:rPr>
                <w:bCs/>
                <w:color w:val="FFFFFF"/>
              </w:rPr>
              <w:t>Globe model</w:t>
            </w:r>
          </w:p>
        </w:tc>
        <w:tc>
          <w:tcPr>
            <w:tcW w:w="0" w:type="auto"/>
          </w:tcPr>
          <w:p w14:paraId="3206DFF2" w14:textId="77777777" w:rsidR="00733B5F" w:rsidRDefault="00000000">
            <w:pPr>
              <w:pStyle w:val="Compact"/>
            </w:pPr>
            <w:r>
              <w:rPr>
                <w:bCs/>
                <w:color w:val="FFFFFF"/>
              </w:rPr>
              <w:t>Common Flat Earth response</w:t>
            </w:r>
          </w:p>
        </w:tc>
        <w:tc>
          <w:tcPr>
            <w:tcW w:w="0" w:type="auto"/>
          </w:tcPr>
          <w:p w14:paraId="4CCA12AB" w14:textId="77777777" w:rsidR="00733B5F" w:rsidRDefault="00000000">
            <w:pPr>
              <w:pStyle w:val="Compact"/>
            </w:pPr>
            <w:r>
              <w:rPr>
                <w:bCs/>
                <w:color w:val="FFFFFF"/>
              </w:rPr>
              <w:t>Assessment</w:t>
            </w:r>
          </w:p>
        </w:tc>
      </w:tr>
      <w:tr w:rsidR="00733B5F" w14:paraId="56813E42" w14:textId="77777777">
        <w:tc>
          <w:tcPr>
            <w:tcW w:w="0" w:type="auto"/>
          </w:tcPr>
          <w:p w14:paraId="13FFFDF8" w14:textId="77777777" w:rsidR="00733B5F" w:rsidRDefault="00000000">
            <w:pPr>
              <w:pStyle w:val="Compact"/>
            </w:pPr>
            <w:r>
              <w:t>Local flat appearance</w:t>
            </w:r>
          </w:p>
        </w:tc>
        <w:tc>
          <w:tcPr>
            <w:tcW w:w="0" w:type="auto"/>
          </w:tcPr>
          <w:p w14:paraId="5EBEC153" w14:textId="77777777" w:rsidR="00733B5F" w:rsidRDefault="00000000">
            <w:pPr>
              <w:pStyle w:val="Compact"/>
            </w:pPr>
            <w:r>
              <w:t>Expected at small scale</w:t>
            </w:r>
          </w:p>
        </w:tc>
        <w:tc>
          <w:tcPr>
            <w:tcW w:w="0" w:type="auto"/>
          </w:tcPr>
          <w:p w14:paraId="570B69C3" w14:textId="77777777" w:rsidR="00733B5F" w:rsidRDefault="00000000">
            <w:pPr>
              <w:pStyle w:val="Compact"/>
            </w:pPr>
            <w:r>
              <w:t>Direct evidence of plane</w:t>
            </w:r>
          </w:p>
        </w:tc>
        <w:tc>
          <w:tcPr>
            <w:tcW w:w="0" w:type="auto"/>
          </w:tcPr>
          <w:p w14:paraId="6BE54B28" w14:textId="77777777" w:rsidR="00733B5F" w:rsidRDefault="00000000">
            <w:pPr>
              <w:pStyle w:val="Compact"/>
            </w:pPr>
            <w:r>
              <w:t>Low discriminatory value by itself</w:t>
            </w:r>
          </w:p>
        </w:tc>
      </w:tr>
      <w:tr w:rsidR="00733B5F" w14:paraId="16308F02" w14:textId="77777777">
        <w:tc>
          <w:tcPr>
            <w:tcW w:w="0" w:type="auto"/>
          </w:tcPr>
          <w:p w14:paraId="373E4637" w14:textId="77777777" w:rsidR="00733B5F" w:rsidRDefault="00000000">
            <w:pPr>
              <w:pStyle w:val="Compact"/>
            </w:pPr>
            <w:r>
              <w:t>Horizon vs. height</w:t>
            </w:r>
          </w:p>
        </w:tc>
        <w:tc>
          <w:tcPr>
            <w:tcW w:w="0" w:type="auto"/>
          </w:tcPr>
          <w:p w14:paraId="6B187675" w14:textId="77777777" w:rsidR="00733B5F" w:rsidRDefault="00000000">
            <w:pPr>
              <w:pStyle w:val="Compact"/>
            </w:pPr>
            <w:r>
              <w:t>Quantitative relationship with height and refraction</w:t>
            </w:r>
          </w:p>
        </w:tc>
        <w:tc>
          <w:tcPr>
            <w:tcW w:w="0" w:type="auto"/>
          </w:tcPr>
          <w:p w14:paraId="2485557A" w14:textId="77777777" w:rsidR="00733B5F" w:rsidRDefault="00000000">
            <w:pPr>
              <w:pStyle w:val="Compact"/>
            </w:pPr>
            <w:r>
              <w:t>Horizon claimed to remain at eye level</w:t>
            </w:r>
          </w:p>
        </w:tc>
        <w:tc>
          <w:tcPr>
            <w:tcW w:w="0" w:type="auto"/>
          </w:tcPr>
          <w:p w14:paraId="2A2CDD3F" w14:textId="77777777" w:rsidR="00733B5F" w:rsidRDefault="00000000">
            <w:pPr>
              <w:pStyle w:val="Compact"/>
            </w:pPr>
            <w:r>
              <w:t>Favors globe when measured against true horizontal with controls</w:t>
            </w:r>
          </w:p>
        </w:tc>
      </w:tr>
      <w:tr w:rsidR="00733B5F" w14:paraId="6612D918" w14:textId="77777777">
        <w:tc>
          <w:tcPr>
            <w:tcW w:w="0" w:type="auto"/>
          </w:tcPr>
          <w:p w14:paraId="5FEB0063" w14:textId="77777777" w:rsidR="00733B5F" w:rsidRDefault="00000000">
            <w:pPr>
              <w:pStyle w:val="Compact"/>
            </w:pPr>
            <w:r>
              <w:t>Celestial latitude</w:t>
            </w:r>
          </w:p>
        </w:tc>
        <w:tc>
          <w:tcPr>
            <w:tcW w:w="0" w:type="auto"/>
          </w:tcPr>
          <w:p w14:paraId="557ACCCD" w14:textId="77777777" w:rsidR="00733B5F" w:rsidRDefault="00000000">
            <w:pPr>
              <w:pStyle w:val="Compact"/>
            </w:pPr>
            <w:r>
              <w:t>Pole altitude tracks latitude; consistent spherical astronomy</w:t>
            </w:r>
          </w:p>
        </w:tc>
        <w:tc>
          <w:tcPr>
            <w:tcW w:w="0" w:type="auto"/>
          </w:tcPr>
          <w:p w14:paraId="630FB175" w14:textId="77777777" w:rsidR="00733B5F" w:rsidRDefault="00000000">
            <w:pPr>
              <w:pStyle w:val="Compact"/>
            </w:pPr>
            <w:r>
              <w:t>Finite/local lights and perspective</w:t>
            </w:r>
          </w:p>
        </w:tc>
        <w:tc>
          <w:tcPr>
            <w:tcW w:w="0" w:type="auto"/>
          </w:tcPr>
          <w:p w14:paraId="6C17BF4D" w14:textId="77777777" w:rsidR="00733B5F" w:rsidRDefault="00000000">
            <w:pPr>
              <w:pStyle w:val="Compact"/>
            </w:pPr>
            <w:r>
              <w:t>Globe provides unified quantitative system</w:t>
            </w:r>
          </w:p>
        </w:tc>
      </w:tr>
      <w:tr w:rsidR="00733B5F" w14:paraId="7CC433E3" w14:textId="77777777">
        <w:tc>
          <w:tcPr>
            <w:tcW w:w="0" w:type="auto"/>
          </w:tcPr>
          <w:p w14:paraId="7C1F4BC0" w14:textId="77777777" w:rsidR="00733B5F" w:rsidRDefault="00000000">
            <w:pPr>
              <w:pStyle w:val="Compact"/>
            </w:pPr>
            <w:r>
              <w:t>Southern sky and routes</w:t>
            </w:r>
          </w:p>
        </w:tc>
        <w:tc>
          <w:tcPr>
            <w:tcW w:w="0" w:type="auto"/>
          </w:tcPr>
          <w:p w14:paraId="57AA0361" w14:textId="77777777" w:rsidR="00733B5F" w:rsidRDefault="00000000">
            <w:pPr>
              <w:pStyle w:val="Compact"/>
            </w:pPr>
            <w:r>
              <w:t>Converging southern meridians; southern celestial pole</w:t>
            </w:r>
          </w:p>
        </w:tc>
        <w:tc>
          <w:tcPr>
            <w:tcW w:w="0" w:type="auto"/>
          </w:tcPr>
          <w:p w14:paraId="3050792E" w14:textId="77777777" w:rsidR="00733B5F" w:rsidRDefault="00000000">
            <w:pPr>
              <w:pStyle w:val="Compact"/>
            </w:pPr>
            <w:r>
              <w:t>Disk-map alternatives</w:t>
            </w:r>
          </w:p>
        </w:tc>
        <w:tc>
          <w:tcPr>
            <w:tcW w:w="0" w:type="auto"/>
          </w:tcPr>
          <w:p w14:paraId="1A45A47E" w14:textId="77777777" w:rsidR="00733B5F" w:rsidRDefault="00000000">
            <w:pPr>
              <w:pStyle w:val="Compact"/>
            </w:pPr>
            <w:r>
              <w:t>Strong challenge to common north-centered disk</w:t>
            </w:r>
          </w:p>
        </w:tc>
      </w:tr>
      <w:tr w:rsidR="00733B5F" w14:paraId="5F7A41F8" w14:textId="77777777">
        <w:tc>
          <w:tcPr>
            <w:tcW w:w="0" w:type="auto"/>
          </w:tcPr>
          <w:p w14:paraId="0E077B90" w14:textId="77777777" w:rsidR="00733B5F" w:rsidRDefault="00000000">
            <w:pPr>
              <w:pStyle w:val="Compact"/>
            </w:pPr>
            <w:r>
              <w:t>Water level</w:t>
            </w:r>
          </w:p>
        </w:tc>
        <w:tc>
          <w:tcPr>
            <w:tcW w:w="0" w:type="auto"/>
          </w:tcPr>
          <w:p w14:paraId="501BEC99" w14:textId="77777777" w:rsidR="00733B5F" w:rsidRDefault="00000000">
            <w:pPr>
              <w:pStyle w:val="Compact"/>
            </w:pPr>
            <w:r>
              <w:t>Local equipotential surface under gravity</w:t>
            </w:r>
          </w:p>
        </w:tc>
        <w:tc>
          <w:tcPr>
            <w:tcW w:w="0" w:type="auto"/>
          </w:tcPr>
          <w:p w14:paraId="5A5086A4" w14:textId="77777777" w:rsidR="00733B5F" w:rsidRDefault="00000000">
            <w:pPr>
              <w:pStyle w:val="Compact"/>
            </w:pPr>
            <w:r>
              <w:t>Level means globally flat</w:t>
            </w:r>
          </w:p>
        </w:tc>
        <w:tc>
          <w:tcPr>
            <w:tcW w:w="0" w:type="auto"/>
          </w:tcPr>
          <w:p w14:paraId="5E4A3258" w14:textId="77777777" w:rsidR="00733B5F" w:rsidRDefault="00000000">
            <w:pPr>
              <w:pStyle w:val="Compact"/>
            </w:pPr>
            <w:r>
              <w:t>Geodesy supports local level, global curvature</w:t>
            </w:r>
          </w:p>
        </w:tc>
      </w:tr>
      <w:tr w:rsidR="00733B5F" w14:paraId="154828BF" w14:textId="77777777">
        <w:tc>
          <w:tcPr>
            <w:tcW w:w="0" w:type="auto"/>
          </w:tcPr>
          <w:p w14:paraId="7041A56D" w14:textId="77777777" w:rsidR="00733B5F" w:rsidRDefault="00000000">
            <w:pPr>
              <w:pStyle w:val="Compact"/>
            </w:pPr>
            <w:r>
              <w:t>Earth rotation</w:t>
            </w:r>
          </w:p>
        </w:tc>
        <w:tc>
          <w:tcPr>
            <w:tcW w:w="0" w:type="auto"/>
          </w:tcPr>
          <w:p w14:paraId="21743ABD" w14:textId="77777777" w:rsidR="00733B5F" w:rsidRDefault="00000000">
            <w:pPr>
              <w:pStyle w:val="Compact"/>
            </w:pPr>
            <w:r>
              <w:t>Foucault, Coriolis, gyroscopes predict latitude/orientation effects</w:t>
            </w:r>
          </w:p>
        </w:tc>
        <w:tc>
          <w:tcPr>
            <w:tcW w:w="0" w:type="auto"/>
          </w:tcPr>
          <w:p w14:paraId="02FE2D1F" w14:textId="77777777" w:rsidR="00733B5F" w:rsidRDefault="00000000">
            <w:pPr>
              <w:pStyle w:val="Compact"/>
            </w:pPr>
            <w:r>
              <w:t>Instrument or heavens reinterpreted as rotating</w:t>
            </w:r>
          </w:p>
        </w:tc>
        <w:tc>
          <w:tcPr>
            <w:tcW w:w="0" w:type="auto"/>
          </w:tcPr>
          <w:p w14:paraId="6C15A42C" w14:textId="77777777" w:rsidR="00733B5F" w:rsidRDefault="00000000">
            <w:pPr>
              <w:pStyle w:val="Compact"/>
            </w:pPr>
            <w:r>
              <w:t>Independent terrestrial measurements favor rotating Earth</w:t>
            </w:r>
          </w:p>
        </w:tc>
      </w:tr>
      <w:tr w:rsidR="00733B5F" w14:paraId="3AC53DF9" w14:textId="77777777">
        <w:tc>
          <w:tcPr>
            <w:tcW w:w="0" w:type="auto"/>
          </w:tcPr>
          <w:p w14:paraId="0C4FDC11" w14:textId="77777777" w:rsidR="00733B5F" w:rsidRDefault="00000000">
            <w:pPr>
              <w:pStyle w:val="Compact"/>
            </w:pPr>
            <w:r>
              <w:t>Antarctica</w:t>
            </w:r>
          </w:p>
        </w:tc>
        <w:tc>
          <w:tcPr>
            <w:tcW w:w="0" w:type="auto"/>
          </w:tcPr>
          <w:p w14:paraId="6EBA1FE3" w14:textId="77777777" w:rsidR="00733B5F" w:rsidRDefault="00000000">
            <w:pPr>
              <w:pStyle w:val="Compact"/>
            </w:pPr>
            <w:r>
              <w:t>Polar continent with regulated access and repeated operations</w:t>
            </w:r>
          </w:p>
        </w:tc>
        <w:tc>
          <w:tcPr>
            <w:tcW w:w="0" w:type="auto"/>
          </w:tcPr>
          <w:p w14:paraId="75662BA4" w14:textId="77777777" w:rsidR="00733B5F" w:rsidRDefault="00000000">
            <w:pPr>
              <w:pStyle w:val="Compact"/>
            </w:pPr>
            <w:r>
              <w:t>Perimeter ice wall concealed by treaty</w:t>
            </w:r>
          </w:p>
        </w:tc>
        <w:tc>
          <w:tcPr>
            <w:tcW w:w="0" w:type="auto"/>
          </w:tcPr>
          <w:p w14:paraId="6BA52D3C" w14:textId="77777777" w:rsidR="00733B5F" w:rsidRDefault="00000000">
            <w:pPr>
              <w:pStyle w:val="Compact"/>
            </w:pPr>
            <w:r>
              <w:t>Documentary and operational record favors globe geography</w:t>
            </w:r>
          </w:p>
        </w:tc>
      </w:tr>
      <w:tr w:rsidR="00733B5F" w14:paraId="65270CC5" w14:textId="77777777">
        <w:tc>
          <w:tcPr>
            <w:tcW w:w="0" w:type="auto"/>
          </w:tcPr>
          <w:p w14:paraId="3BE757F1" w14:textId="77777777" w:rsidR="00733B5F" w:rsidRDefault="00000000">
            <w:pPr>
              <w:pStyle w:val="Compact"/>
            </w:pPr>
            <w:r>
              <w:t>Space imagery</w:t>
            </w:r>
          </w:p>
        </w:tc>
        <w:tc>
          <w:tcPr>
            <w:tcW w:w="0" w:type="auto"/>
          </w:tcPr>
          <w:p w14:paraId="35259444" w14:textId="77777777" w:rsidR="00733B5F" w:rsidRDefault="00000000">
            <w:pPr>
              <w:pStyle w:val="Compact"/>
            </w:pPr>
            <w:r>
              <w:t>Corroborative, not foundational</w:t>
            </w:r>
          </w:p>
        </w:tc>
        <w:tc>
          <w:tcPr>
            <w:tcW w:w="0" w:type="auto"/>
          </w:tcPr>
          <w:p w14:paraId="7DB5B4C3" w14:textId="77777777" w:rsidR="00733B5F" w:rsidRDefault="00000000">
            <w:pPr>
              <w:pStyle w:val="Compact"/>
            </w:pPr>
            <w:r>
              <w:t>Potential fakery or processing</w:t>
            </w:r>
          </w:p>
        </w:tc>
        <w:tc>
          <w:tcPr>
            <w:tcW w:w="0" w:type="auto"/>
          </w:tcPr>
          <w:p w14:paraId="3EE4A8A8" w14:textId="77777777" w:rsidR="00733B5F" w:rsidRDefault="00000000">
            <w:pPr>
              <w:pStyle w:val="Compact"/>
            </w:pPr>
            <w:r>
              <w:t>Exclude imagery and globe case remains strong</w:t>
            </w:r>
          </w:p>
        </w:tc>
      </w:tr>
      <w:tr w:rsidR="00733B5F" w14:paraId="00D32C14" w14:textId="77777777">
        <w:tc>
          <w:tcPr>
            <w:tcW w:w="0" w:type="auto"/>
          </w:tcPr>
          <w:p w14:paraId="2621D64E" w14:textId="77777777" w:rsidR="00733B5F" w:rsidRDefault="00000000">
            <w:pPr>
              <w:pStyle w:val="Compact"/>
            </w:pPr>
            <w:r>
              <w:t>Conspiracy logistics</w:t>
            </w:r>
          </w:p>
        </w:tc>
        <w:tc>
          <w:tcPr>
            <w:tcW w:w="0" w:type="auto"/>
          </w:tcPr>
          <w:p w14:paraId="7B274806" w14:textId="77777777" w:rsidR="00733B5F" w:rsidRDefault="00000000">
            <w:pPr>
              <w:pStyle w:val="Compact"/>
            </w:pPr>
            <w:r>
              <w:t>No global concealment required</w:t>
            </w:r>
          </w:p>
        </w:tc>
        <w:tc>
          <w:tcPr>
            <w:tcW w:w="0" w:type="auto"/>
          </w:tcPr>
          <w:p w14:paraId="2D02F848" w14:textId="77777777" w:rsidR="00733B5F" w:rsidRDefault="00000000">
            <w:pPr>
              <w:pStyle w:val="Compact"/>
            </w:pPr>
            <w:r>
              <w:t>Distributed institutions allegedly coordinated</w:t>
            </w:r>
          </w:p>
        </w:tc>
        <w:tc>
          <w:tcPr>
            <w:tcW w:w="0" w:type="auto"/>
          </w:tcPr>
          <w:p w14:paraId="65FB9D6C" w14:textId="77777777" w:rsidR="00733B5F" w:rsidRDefault="00000000">
            <w:pPr>
              <w:pStyle w:val="Compact"/>
            </w:pPr>
            <w:r>
              <w:t>Alternative requires extensive auxiliary assumptions</w:t>
            </w:r>
          </w:p>
        </w:tc>
      </w:tr>
    </w:tbl>
    <w:p w14:paraId="404EA7B3" w14:textId="77777777" w:rsidR="00733B5F" w:rsidRDefault="00000000">
      <w:pPr>
        <w:pStyle w:val="BodyText"/>
      </w:pPr>
      <w:r>
        <w:t>The scientific conclusion is therefore not based on institutional prestige. It is based on comparative predictive performance. A model earns confidence when it repeatedly tells observers what they will measure before they measure it. The globe model does this across independent domains. Contemporary Flat Earth models generally operate as collections of objections and local explanations rather than as a single quantitative system.</w:t>
      </w:r>
    </w:p>
    <w:p w14:paraId="24844CDB" w14:textId="77777777" w:rsidR="00733B5F" w:rsidRDefault="00000000">
      <w:pPr>
        <w:pStyle w:val="Heading1"/>
      </w:pPr>
      <w:bookmarkStart w:id="31" w:name="conclusion"/>
      <w:bookmarkEnd w:id="30"/>
      <w:r>
        <w:lastRenderedPageBreak/>
        <w:t>18. Conclusion</w:t>
      </w:r>
    </w:p>
    <w:p w14:paraId="02852FCD" w14:textId="77777777" w:rsidR="00733B5F" w:rsidRDefault="00000000">
      <w:pPr>
        <w:pStyle w:val="FirstParagraph"/>
      </w:pPr>
      <w:r>
        <w:t>The Earth is not scientifically ambiguous in the sense implied by contemporary Flat Earth advocacy. The oblate-globe framework is supported by a broad and mutually reinforcing body of evidence that can be accessed from the deck of a vessel, a surveying instrument, a pendulum laboratory, an optical gyroscope, a celestial sight, or a southern-ocean route. Space imagery is confirmatory but not logically necessary.</w:t>
      </w:r>
    </w:p>
    <w:p w14:paraId="4A876E77" w14:textId="77777777" w:rsidR="00733B5F" w:rsidRDefault="00000000">
      <w:pPr>
        <w:pStyle w:val="BodyText"/>
      </w:pPr>
      <w:r>
        <w:t>Yet dismissing the subject as foolish would miss the more important finding. Flat Earth succeeds rhetorically because it often begins with legitimate instincts: do not blindly trust authority; verify claims; notice that institutions fail; recognize that photographs can be manipulated; and demand evidence rather than status. Those are sound research instincts. The failure occurs when skepticism is applied asymmetrically - when conventional claims must survive extreme scrutiny but alternative claims are accepted because they oppose the distrusted source.</w:t>
      </w:r>
    </w:p>
    <w:p w14:paraId="48A59E67" w14:textId="77777777" w:rsidR="00733B5F" w:rsidRDefault="00000000">
      <w:pPr>
        <w:pStyle w:val="BodyText"/>
      </w:pPr>
      <w:r>
        <w:t>The Columbus classroom story illustrates why this asymmetry can arise. A trusted educational system can transmit a myth without a conspiracy. A student can later discover the error and reasonably reduce confidence in the original narrative. An alternative researcher can accurately expose the historical mistake and thereby earn trust. But no amount of correctness about Columbus changes the geometry of the horizon, the altitude of Polaris, the southern sky, Foucault precession, or the measured rotation of a ring-laser gyroscope.</w:t>
      </w:r>
    </w:p>
    <w:p w14:paraId="14BAB7BA" w14:textId="77777777" w:rsidR="00733B5F" w:rsidRDefault="00000000">
      <w:pPr>
        <w:pStyle w:val="BodyText"/>
      </w:pPr>
      <w:r>
        <w:t>The most durable conclusion is therefore epistemological: never confuse the reliability of a source with the truth of a claim. A trusted source can be wrong. An untrusted source can be right. A government can deceive in one domain and publish accurate measurements in another. A conspiracy theorist can uncover a genuine historical error and then advance a false physical interpretation. None of these facts determines the next claim.</w:t>
      </w:r>
    </w:p>
    <w:p w14:paraId="5A271A09" w14:textId="77777777" w:rsidR="00733B5F" w:rsidRDefault="00000000">
      <w:pPr>
        <w:pStyle w:val="BodyText"/>
      </w:pPr>
      <w:r>
        <w:t>Every claim has to earn its position independently.</w:t>
      </w:r>
    </w:p>
    <w:p w14:paraId="291E9F57" w14:textId="77777777" w:rsidR="00733B5F" w:rsidRDefault="00000000">
      <w:pPr>
        <w:pStyle w:val="BodyText"/>
      </w:pPr>
      <w:r>
        <w:t>That is the strongest reason to investigate Flat Earth. Not because a flat world remains a serious scientific contender, but because learning why convincing evidence can produce a wrong conclusion is one of the most valuable skills in any investigation - maritime, historical, scientific, or otherwise.</w:t>
      </w:r>
    </w:p>
    <w:p w14:paraId="16D39ECE" w14:textId="77777777" w:rsidR="00733B5F" w:rsidRDefault="00000000">
      <w:pPr>
        <w:pStyle w:val="Heading1"/>
      </w:pPr>
      <w:bookmarkStart w:id="32" w:name="X8bab5d88246a83e0b7038412613032a9ef64736"/>
      <w:bookmarkEnd w:id="31"/>
      <w:r>
        <w:t>Appendix A. Proposed Horizon Watch Replication Protocols</w:t>
      </w:r>
    </w:p>
    <w:p w14:paraId="4F800247" w14:textId="77777777" w:rsidR="00733B5F" w:rsidRDefault="00000000">
      <w:pPr>
        <w:pStyle w:val="FirstParagraph"/>
      </w:pPr>
      <w:r>
        <w:t>The following tests are designed to shift the discussion from institutional trust to preregistered observation. Each test should publish the predicted result for competing models before data collection, record calibration and environmental conditions, and preserve raw data.</w:t>
      </w:r>
    </w:p>
    <w:p w14:paraId="7CE43588" w14:textId="77777777" w:rsidR="00733B5F" w:rsidRDefault="00000000">
      <w:pPr>
        <w:pStyle w:val="Heading2"/>
      </w:pPr>
      <w:bookmarkStart w:id="33" w:name="a1.-height-of-eye-horizon-test"/>
      <w:r>
        <w:t>A1. Height-of-eye horizon test</w:t>
      </w:r>
    </w:p>
    <w:p w14:paraId="59E69725" w14:textId="77777777" w:rsidR="00733B5F" w:rsidRDefault="00000000">
      <w:pPr>
        <w:pStyle w:val="FirstParagraph"/>
      </w:pPr>
      <w:r>
        <w:t>Observe the sea horizon from multiple surveyed elevations at the same location. Use a calibrated theodolite or stabilized instrument to establish true horizontal. Record meteorological profiles and compare measured dip with globe predictions and an explicit Flat Earth prediction.</w:t>
      </w:r>
    </w:p>
    <w:p w14:paraId="7E414047" w14:textId="77777777" w:rsidR="00733B5F" w:rsidRDefault="00000000">
      <w:pPr>
        <w:pStyle w:val="Heading2"/>
      </w:pPr>
      <w:bookmarkStart w:id="34" w:name="a2.-multi-height-target-occlusion"/>
      <w:bookmarkEnd w:id="33"/>
      <w:r>
        <w:lastRenderedPageBreak/>
        <w:t>A2. Multi-height target occlusion</w:t>
      </w:r>
    </w:p>
    <w:p w14:paraId="284BDBD4" w14:textId="77777777" w:rsidR="00733B5F" w:rsidRDefault="00000000">
      <w:pPr>
        <w:pStyle w:val="FirstParagraph"/>
      </w:pPr>
      <w:r>
        <w:t>Place or identify a target with surveyed vertical features at a known distance over water. Observe simultaneously from multiple heights. Repeat under different temperature gradients to separate geometric occlusion from refraction.</w:t>
      </w:r>
    </w:p>
    <w:p w14:paraId="013D2D8F" w14:textId="77777777" w:rsidR="00733B5F" w:rsidRDefault="00000000">
      <w:pPr>
        <w:pStyle w:val="Heading2"/>
      </w:pPr>
      <w:bookmarkStart w:id="35" w:name="a3.-latitude-by-polaris"/>
      <w:bookmarkEnd w:id="34"/>
      <w:r>
        <w:t>A3. Latitude by Polaris</w:t>
      </w:r>
    </w:p>
    <w:p w14:paraId="23097CC0" w14:textId="77777777" w:rsidR="00733B5F" w:rsidRDefault="00000000">
      <w:pPr>
        <w:pStyle w:val="FirstParagraph"/>
      </w:pPr>
      <w:r>
        <w:t>At several northern latitudes, measure corrected altitude of Polaris with a sextant and compare with independently surveyed latitude. Publish the predicted relationship in advance.</w:t>
      </w:r>
    </w:p>
    <w:p w14:paraId="3E039543" w14:textId="77777777" w:rsidR="00733B5F" w:rsidRDefault="00000000">
      <w:pPr>
        <w:pStyle w:val="Heading2"/>
      </w:pPr>
      <w:bookmarkStart w:id="36" w:name="a4.-equatorial-transition"/>
      <w:bookmarkEnd w:id="35"/>
      <w:r>
        <w:t>A4. Equatorial transition</w:t>
      </w:r>
    </w:p>
    <w:p w14:paraId="2A820392" w14:textId="77777777" w:rsidR="00733B5F" w:rsidRDefault="00000000">
      <w:pPr>
        <w:pStyle w:val="FirstParagraph"/>
      </w:pPr>
      <w:r>
        <w:t>Conduct celestial observations across the equator. Track the decline of Polaris, emergence of southern constellations, and reversal of apparent celestial rotation around the southern pole.</w:t>
      </w:r>
    </w:p>
    <w:p w14:paraId="58CFBA20" w14:textId="77777777" w:rsidR="00733B5F" w:rsidRDefault="00000000">
      <w:pPr>
        <w:pStyle w:val="Heading2"/>
      </w:pPr>
      <w:bookmarkStart w:id="37" w:name="a5.-foucault-latitude-series"/>
      <w:bookmarkEnd w:id="36"/>
      <w:r>
        <w:t>A5. Foucault latitude series</w:t>
      </w:r>
    </w:p>
    <w:p w14:paraId="34243F68" w14:textId="77777777" w:rsidR="00733B5F" w:rsidRDefault="00000000">
      <w:pPr>
        <w:pStyle w:val="FirstParagraph"/>
      </w:pPr>
      <w:r>
        <w:t>Operate comparable Foucault pendulums at different latitudes, including as close to the equator as practical. Test the predicted latitude dependence and hemispheric reversal.</w:t>
      </w:r>
    </w:p>
    <w:p w14:paraId="6DA15431" w14:textId="77777777" w:rsidR="00733B5F" w:rsidRDefault="00000000">
      <w:pPr>
        <w:pStyle w:val="Heading2"/>
      </w:pPr>
      <w:bookmarkStart w:id="38" w:name="a6.-gyroscope-orientation-test"/>
      <w:bookmarkEnd w:id="37"/>
      <w:r>
        <w:t>A6. Gyroscope orientation test</w:t>
      </w:r>
    </w:p>
    <w:p w14:paraId="6127CCB7" w14:textId="77777777" w:rsidR="00733B5F" w:rsidRDefault="00000000">
      <w:pPr>
        <w:pStyle w:val="FirstParagraph"/>
      </w:pPr>
      <w:r>
        <w:t>Use a sufficiently sensitive optical gyroscope at known latitude and rotate the instrument through controlled orientations. Compare measured rotation components with the predicted Earth-rotation vector.</w:t>
      </w:r>
    </w:p>
    <w:p w14:paraId="4EE57E7E" w14:textId="77777777" w:rsidR="00733B5F" w:rsidRDefault="00000000">
      <w:pPr>
        <w:pStyle w:val="Heading2"/>
      </w:pPr>
      <w:bookmarkStart w:id="39" w:name="a7.-southern-route-geometry-audit"/>
      <w:bookmarkEnd w:id="38"/>
      <w:r>
        <w:t>A7. Southern-route geometry audit</w:t>
      </w:r>
    </w:p>
    <w:p w14:paraId="553284D5" w14:textId="77777777" w:rsidR="00733B5F" w:rsidRDefault="00000000">
      <w:pPr>
        <w:pStyle w:val="FirstParagraph"/>
      </w:pPr>
      <w:r>
        <w:t>Select several southern-ocean port pairs. Compare actual logged distances and times from independent vessel records with globe geodesics and a fully specified Flat Earth map.</w:t>
      </w:r>
    </w:p>
    <w:p w14:paraId="0E1ED026" w14:textId="77777777" w:rsidR="00733B5F" w:rsidRDefault="00000000">
      <w:pPr>
        <w:pStyle w:val="Heading2"/>
      </w:pPr>
      <w:bookmarkStart w:id="40" w:name="a8.-antarctic-documentary-audit"/>
      <w:bookmarkEnd w:id="39"/>
      <w:r>
        <w:t>A8. Antarctic documentary audit</w:t>
      </w:r>
    </w:p>
    <w:p w14:paraId="4F240371" w14:textId="77777777" w:rsidR="00733B5F" w:rsidRDefault="00000000">
      <w:pPr>
        <w:pStyle w:val="FirstParagraph"/>
      </w:pPr>
      <w:r>
        <w:t>Trace a sample of Antarctic voyages from operator schedule to permits/notifications, AIS or independent logs where available, passenger documentation, mapped positions, and return route. The goal is not to "trust tourism" but to test whether the geographic constraints are mutually consistent.</w:t>
      </w:r>
    </w:p>
    <w:p w14:paraId="33A4E463" w14:textId="77777777" w:rsidR="00733B5F" w:rsidRDefault="00000000">
      <w:pPr>
        <w:pStyle w:val="Heading2"/>
      </w:pPr>
      <w:bookmarkStart w:id="41" w:name="a9.-solar-angle-network"/>
      <w:bookmarkEnd w:id="40"/>
      <w:r>
        <w:t>A9. Solar-angle network</w:t>
      </w:r>
    </w:p>
    <w:p w14:paraId="57DA77BD" w14:textId="77777777" w:rsidR="00733B5F" w:rsidRDefault="00000000">
      <w:pPr>
        <w:pStyle w:val="FirstParagraph"/>
      </w:pPr>
      <w:r>
        <w:t>Place synchronized observers at widely separated latitudes/longitudes. Measure solar elevation and azimuth at common UTC times. Require both models to specify solar position and calculate predicted angles in advance.</w:t>
      </w:r>
    </w:p>
    <w:p w14:paraId="73307C54" w14:textId="77777777" w:rsidR="00733B5F" w:rsidRDefault="00000000">
      <w:pPr>
        <w:pStyle w:val="Heading2"/>
      </w:pPr>
      <w:bookmarkStart w:id="42" w:name="a10.-model-challenge"/>
      <w:bookmarkEnd w:id="41"/>
      <w:r>
        <w:lastRenderedPageBreak/>
        <w:t>A10. Model challenge</w:t>
      </w:r>
    </w:p>
    <w:p w14:paraId="261E8739" w14:textId="77777777" w:rsidR="00733B5F" w:rsidRDefault="00000000">
      <w:pPr>
        <w:pStyle w:val="FirstParagraph"/>
      </w:pPr>
      <w:r>
        <w:t>Invite Flat Earth advocates to submit one explicit quantitative model with coordinates, map scale, Sun/Moon geometry, star geometry, and refraction rules. Freeze the parameters, then test against a withheld set of observations.</w:t>
      </w:r>
    </w:p>
    <w:p w14:paraId="7C364DFA" w14:textId="77777777" w:rsidR="00733B5F" w:rsidRDefault="00000000">
      <w:pPr>
        <w:pStyle w:val="Heading2"/>
      </w:pPr>
      <w:bookmarkStart w:id="43" w:name="pre-registration-standard"/>
      <w:bookmarkEnd w:id="42"/>
      <w:r>
        <w:t>Pre-registration standard</w:t>
      </w:r>
    </w:p>
    <w:p w14:paraId="4A5A5978" w14:textId="77777777" w:rsidR="00733B5F" w:rsidRDefault="00000000">
      <w:pPr>
        <w:pStyle w:val="FirstParagraph"/>
      </w:pPr>
      <w:r>
        <w:t>For each experiment, record: hypothesis; model equations; predicted numerical range; instruments and calibration; environmental variables; exclusion criteria; raw-data retention plan; and the observation that would count against each model. A result should not be reclassified after the fact without clearly labeling the change as a post hoc explanation. This protocol directly addresses the central epistemic problem identified in the Horizon Watch file: evidence should be judged by its capacity to survive transparent, symmetrical testing.</w:t>
      </w:r>
    </w:p>
    <w:p w14:paraId="07272EEF" w14:textId="77777777" w:rsidR="00733B5F" w:rsidRDefault="00000000">
      <w:pPr>
        <w:pStyle w:val="Heading1"/>
      </w:pPr>
      <w:bookmarkStart w:id="44" w:name="references"/>
      <w:bookmarkEnd w:id="32"/>
      <w:bookmarkEnd w:id="43"/>
      <w:r>
        <w:t>References</w:t>
      </w:r>
    </w:p>
    <w:p w14:paraId="05402E3E" w14:textId="77777777" w:rsidR="00733B5F" w:rsidRPr="009144F6" w:rsidRDefault="00000000">
      <w:pPr>
        <w:pStyle w:val="FirstParagraph"/>
        <w:rPr>
          <w:sz w:val="20"/>
          <w:szCs w:val="20"/>
        </w:rPr>
      </w:pPr>
      <w:r w:rsidRPr="009144F6">
        <w:rPr>
          <w:sz w:val="20"/>
          <w:szCs w:val="20"/>
        </w:rPr>
        <w:t>Adamus, M., Ballova Mikuskova, E., Kacmar, P., Guzi, M., Adamkovic, M., Chayinska, M., &amp; Adam-Troian, J. (2024). The mediating effect of institutional trust in the relationship between precarity and conspiracy beliefs: A conceptual replication of Adam-Troian et al. (2023). British Journal of Social Psychology, 63(3), 1207-1225. https://doi.org/10.1111/bjso.12725</w:t>
      </w:r>
    </w:p>
    <w:p w14:paraId="0A3AA278" w14:textId="77777777" w:rsidR="00733B5F" w:rsidRPr="009144F6" w:rsidRDefault="00000000">
      <w:pPr>
        <w:pStyle w:val="BodyText"/>
        <w:rPr>
          <w:sz w:val="20"/>
          <w:szCs w:val="20"/>
        </w:rPr>
      </w:pPr>
      <w:r w:rsidRPr="009144F6">
        <w:rPr>
          <w:sz w:val="20"/>
          <w:szCs w:val="20"/>
        </w:rPr>
        <w:t>Adamus, M., et al. (2026). Longitudinal analysis shows possible distinct patterns of associations between conspiracy beliefs and either institutional distrust or the sense of precarity. British Journal of Social Psychology. https://doi.org/10.1111/bjso.70036</w:t>
      </w:r>
    </w:p>
    <w:p w14:paraId="067793F0" w14:textId="77777777" w:rsidR="00733B5F" w:rsidRPr="009144F6" w:rsidRDefault="00000000">
      <w:pPr>
        <w:pStyle w:val="BodyText"/>
        <w:rPr>
          <w:sz w:val="20"/>
          <w:szCs w:val="20"/>
        </w:rPr>
      </w:pPr>
      <w:r w:rsidRPr="009144F6">
        <w:rPr>
          <w:sz w:val="20"/>
          <w:szCs w:val="20"/>
        </w:rPr>
        <w:t>Antarctic Treaty Secretariat. (1959/2026). The Antarctic Treaty. https://www.ats.aq/e/antarctictreaty.html</w:t>
      </w:r>
    </w:p>
    <w:p w14:paraId="34731676" w14:textId="77777777" w:rsidR="00733B5F" w:rsidRPr="009144F6" w:rsidRDefault="00000000">
      <w:pPr>
        <w:pStyle w:val="BodyText"/>
        <w:rPr>
          <w:sz w:val="20"/>
          <w:szCs w:val="20"/>
        </w:rPr>
      </w:pPr>
      <w:r w:rsidRPr="009144F6">
        <w:rPr>
          <w:sz w:val="20"/>
          <w:szCs w:val="20"/>
        </w:rPr>
        <w:t>Brauner, F., Fonagy, P., Campbell, C., Griem, J., Storck, T., &amp; Nolte, T. (2023). 'Trust me, do not trust anyone': How epistemic mistrust and credulity are associated with conspiracy mentality. Research in Psychotherapy: Psychopathology, Process and Outcome, 26(3), 705. https://doi.org/10.4081/ripppo.2023.705</w:t>
      </w:r>
    </w:p>
    <w:p w14:paraId="3E317027" w14:textId="77777777" w:rsidR="00733B5F" w:rsidRPr="009144F6" w:rsidRDefault="00000000">
      <w:pPr>
        <w:pStyle w:val="BodyText"/>
        <w:rPr>
          <w:sz w:val="20"/>
          <w:szCs w:val="20"/>
        </w:rPr>
      </w:pPr>
      <w:r w:rsidRPr="009144F6">
        <w:rPr>
          <w:sz w:val="20"/>
          <w:szCs w:val="20"/>
        </w:rPr>
        <w:t>Carman, C. C., &amp; Evans, J. (2015). The two earths of Eratosthenes. Isis, 106(1), 1-16. https://doi.org/10.1086/681034</w:t>
      </w:r>
    </w:p>
    <w:p w14:paraId="09A8665B" w14:textId="77777777" w:rsidR="00733B5F" w:rsidRPr="009144F6" w:rsidRDefault="00000000">
      <w:pPr>
        <w:pStyle w:val="BodyText"/>
        <w:rPr>
          <w:sz w:val="20"/>
          <w:szCs w:val="20"/>
        </w:rPr>
      </w:pPr>
      <w:r w:rsidRPr="009144F6">
        <w:rPr>
          <w:sz w:val="20"/>
          <w:szCs w:val="20"/>
        </w:rPr>
        <w:t>Dechêne, A., Stahl, C., Hansen, J., &amp; Wänke, M. (2010). The truth about the truth: A meta-analytic review of the truth effect. Personality and Social Psychology Review, 14(2), 238-257. https://doi.org/10.1177/1088868309352251</w:t>
      </w:r>
    </w:p>
    <w:p w14:paraId="1C6B70E6" w14:textId="77777777" w:rsidR="00733B5F" w:rsidRPr="009144F6" w:rsidRDefault="00000000">
      <w:pPr>
        <w:pStyle w:val="BodyText"/>
        <w:rPr>
          <w:sz w:val="20"/>
          <w:szCs w:val="20"/>
        </w:rPr>
      </w:pPr>
      <w:r w:rsidRPr="009144F6">
        <w:rPr>
          <w:sz w:val="20"/>
          <w:szCs w:val="20"/>
        </w:rPr>
        <w:t>Douglas, K. M. (2026). Antecedents and consequences of science-related conspiracy beliefs. Current Opinion in Psychology, 67, 102191. https://doi.org/10.1016/j.copsyc.2025.102191</w:t>
      </w:r>
    </w:p>
    <w:p w14:paraId="60D6F81A" w14:textId="77777777" w:rsidR="00733B5F" w:rsidRPr="009144F6" w:rsidRDefault="00000000">
      <w:pPr>
        <w:pStyle w:val="BodyText"/>
        <w:rPr>
          <w:sz w:val="20"/>
          <w:szCs w:val="20"/>
        </w:rPr>
      </w:pPr>
      <w:r w:rsidRPr="009144F6">
        <w:rPr>
          <w:sz w:val="20"/>
          <w:szCs w:val="20"/>
        </w:rPr>
        <w:t>Fernbach, P. M., &amp; Bogard, J. E. (2024). Conspiracy theory as individual and group behavior: Observations from the Flat Earth International Conference. Topics in Cognitive Science, 16(2), 187-205. https://doi.org/10.1111/tops.12662</w:t>
      </w:r>
    </w:p>
    <w:p w14:paraId="31F8E167" w14:textId="77777777" w:rsidR="00733B5F" w:rsidRPr="009144F6" w:rsidRDefault="00000000">
      <w:pPr>
        <w:pStyle w:val="BodyText"/>
        <w:rPr>
          <w:sz w:val="20"/>
          <w:szCs w:val="20"/>
        </w:rPr>
      </w:pPr>
      <w:r w:rsidRPr="009144F6">
        <w:rPr>
          <w:sz w:val="20"/>
          <w:szCs w:val="20"/>
        </w:rPr>
        <w:t>Garwood, C. (2007). Flat Earth: The history of an infamous idea. Macmillan.</w:t>
      </w:r>
    </w:p>
    <w:p w14:paraId="33EBEBBC" w14:textId="77777777" w:rsidR="00733B5F" w:rsidRPr="009144F6" w:rsidRDefault="00000000">
      <w:pPr>
        <w:pStyle w:val="BodyText"/>
        <w:rPr>
          <w:sz w:val="20"/>
          <w:szCs w:val="20"/>
        </w:rPr>
      </w:pPr>
      <w:r w:rsidRPr="009144F6">
        <w:rPr>
          <w:sz w:val="20"/>
          <w:szCs w:val="20"/>
        </w:rPr>
        <w:t>Hansson, S. O. (2025). Science and pseudo-science. In E. N. Zalta &amp; U. Nodelman (Eds.), The Stanford Encyclopedia of Philosophy. Stanford University. https://plato.stanford.edu/entries/pseudo-science/</w:t>
      </w:r>
    </w:p>
    <w:p w14:paraId="7CBF516D" w14:textId="77777777" w:rsidR="00733B5F" w:rsidRPr="009144F6" w:rsidRDefault="00000000">
      <w:pPr>
        <w:pStyle w:val="BodyText"/>
        <w:rPr>
          <w:sz w:val="20"/>
          <w:szCs w:val="20"/>
        </w:rPr>
      </w:pPr>
      <w:r w:rsidRPr="009144F6">
        <w:rPr>
          <w:sz w:val="20"/>
          <w:szCs w:val="20"/>
        </w:rPr>
        <w:t>Horizon Watch. (2026). Flat Earth: A mariner's investigation of evidence, history, and trust [Unpublished Horizon File working outline].</w:t>
      </w:r>
    </w:p>
    <w:p w14:paraId="52A3C366" w14:textId="77777777" w:rsidR="00733B5F" w:rsidRPr="009144F6" w:rsidRDefault="00000000">
      <w:pPr>
        <w:pStyle w:val="BodyText"/>
        <w:rPr>
          <w:sz w:val="20"/>
          <w:szCs w:val="20"/>
        </w:rPr>
      </w:pPr>
      <w:r w:rsidRPr="009144F6">
        <w:rPr>
          <w:sz w:val="20"/>
          <w:szCs w:val="20"/>
        </w:rPr>
        <w:lastRenderedPageBreak/>
        <w:t>International Association of Antarctica Tour Operators. (2024). IAATO &amp; tourism FAQs. https://iaato.org/</w:t>
      </w:r>
    </w:p>
    <w:p w14:paraId="6F8C032F" w14:textId="77777777" w:rsidR="00733B5F" w:rsidRPr="009144F6" w:rsidRDefault="00000000">
      <w:pPr>
        <w:pStyle w:val="BodyText"/>
        <w:rPr>
          <w:sz w:val="20"/>
          <w:szCs w:val="20"/>
        </w:rPr>
      </w:pPr>
      <w:r w:rsidRPr="009144F6">
        <w:rPr>
          <w:sz w:val="20"/>
          <w:szCs w:val="20"/>
        </w:rPr>
        <w:t>Irving, W. (1844). The life and voyages of Christopher Columbus (Abridged and arranged by the author expressly for the use of schools). R. L. Underhill &amp; Co. Library of Congress collection.</w:t>
      </w:r>
    </w:p>
    <w:p w14:paraId="696307D3" w14:textId="77777777" w:rsidR="00733B5F" w:rsidRPr="009144F6" w:rsidRDefault="00000000">
      <w:pPr>
        <w:pStyle w:val="BodyText"/>
        <w:rPr>
          <w:sz w:val="20"/>
          <w:szCs w:val="20"/>
        </w:rPr>
      </w:pPr>
      <w:r w:rsidRPr="009144F6">
        <w:rPr>
          <w:sz w:val="20"/>
          <w:szCs w:val="20"/>
        </w:rPr>
        <w:t xml:space="preserve">Lai, Y.-H., Suh, M.-G., Lu, Y.-K., Shen, B., Yang, Q.-F., Wang, H., Li, J., Lee, S. H., Yang, K. Y., &amp; Vahala, K. (2020). Earth rotation </w:t>
      </w:r>
      <w:proofErr w:type="gramStart"/>
      <w:r w:rsidRPr="009144F6">
        <w:rPr>
          <w:sz w:val="20"/>
          <w:szCs w:val="20"/>
        </w:rPr>
        <w:t>measured</w:t>
      </w:r>
      <w:proofErr w:type="gramEnd"/>
      <w:r w:rsidRPr="009144F6">
        <w:rPr>
          <w:sz w:val="20"/>
          <w:szCs w:val="20"/>
        </w:rPr>
        <w:t xml:space="preserve"> by a chip-scale ring laser gyroscope. Nature Photonics, 14, 345-349. https://doi.org/10.1038/s41566-020-0588-y</w:t>
      </w:r>
    </w:p>
    <w:p w14:paraId="17301D45" w14:textId="77777777" w:rsidR="00733B5F" w:rsidRPr="009144F6" w:rsidRDefault="00000000">
      <w:pPr>
        <w:pStyle w:val="BodyText"/>
        <w:rPr>
          <w:sz w:val="20"/>
          <w:szCs w:val="20"/>
        </w:rPr>
      </w:pPr>
      <w:r w:rsidRPr="009144F6">
        <w:rPr>
          <w:sz w:val="20"/>
          <w:szCs w:val="20"/>
        </w:rPr>
        <w:t>Mari, S., Gil de Zuniga, H., Suerdem, A., Hanke, K., Brown, G., Vilar, R., Boer, D., &amp; Bilewicz, M. (2022). Conspiracy theories and institutional trust: Examining the role of uncertainty avoidance and active social media use. Political Psychology, 43(2), 277-296. https://doi.org/10.1111/pops.12754</w:t>
      </w:r>
    </w:p>
    <w:p w14:paraId="2BDF9DF5" w14:textId="77777777" w:rsidR="00733B5F" w:rsidRPr="009144F6" w:rsidRDefault="00000000">
      <w:pPr>
        <w:pStyle w:val="BodyText"/>
        <w:rPr>
          <w:sz w:val="20"/>
          <w:szCs w:val="20"/>
        </w:rPr>
      </w:pPr>
      <w:r w:rsidRPr="009144F6">
        <w:rPr>
          <w:sz w:val="20"/>
          <w:szCs w:val="20"/>
        </w:rPr>
        <w:t>Matthew, C. A. (2023). Eratosthenes and the measurement of the Earth's circumference (c. 230 BC). Oxford University Press. https://doi.org/10.1093/oso/9780198874294.001.0001</w:t>
      </w:r>
    </w:p>
    <w:p w14:paraId="3CBB9B31" w14:textId="77777777" w:rsidR="00733B5F" w:rsidRPr="009144F6" w:rsidRDefault="00000000">
      <w:pPr>
        <w:pStyle w:val="BodyText"/>
        <w:rPr>
          <w:sz w:val="20"/>
          <w:szCs w:val="20"/>
        </w:rPr>
      </w:pPr>
      <w:r w:rsidRPr="009144F6">
        <w:rPr>
          <w:sz w:val="20"/>
          <w:szCs w:val="20"/>
        </w:rPr>
        <w:t xml:space="preserve">National Geodetic Survey. (2001). What is </w:t>
      </w:r>
      <w:proofErr w:type="gramStart"/>
      <w:r w:rsidRPr="009144F6">
        <w:rPr>
          <w:sz w:val="20"/>
          <w:szCs w:val="20"/>
        </w:rPr>
        <w:t>the geoid</w:t>
      </w:r>
      <w:proofErr w:type="gramEnd"/>
      <w:r w:rsidRPr="009144F6">
        <w:rPr>
          <w:sz w:val="20"/>
          <w:szCs w:val="20"/>
        </w:rPr>
        <w:t>? National Oceanic and Atmospheric Administration. https://www.ngs.noaa.gov/GEOID/geoid_def.html</w:t>
      </w:r>
    </w:p>
    <w:p w14:paraId="043D82D1" w14:textId="77777777" w:rsidR="00733B5F" w:rsidRPr="009144F6" w:rsidRDefault="00000000">
      <w:pPr>
        <w:pStyle w:val="BodyText"/>
        <w:rPr>
          <w:sz w:val="20"/>
          <w:szCs w:val="20"/>
        </w:rPr>
      </w:pPr>
      <w:r w:rsidRPr="009144F6">
        <w:rPr>
          <w:sz w:val="20"/>
          <w:szCs w:val="20"/>
        </w:rPr>
        <w:t>National Geospatial-Intelligence Agency. (2024). The American Practical Navigator. Maritime Safety Information Publications.</w:t>
      </w:r>
    </w:p>
    <w:p w14:paraId="46D04180" w14:textId="77777777" w:rsidR="00733B5F" w:rsidRPr="009144F6" w:rsidRDefault="00000000">
      <w:pPr>
        <w:pStyle w:val="BodyText"/>
        <w:rPr>
          <w:sz w:val="20"/>
          <w:szCs w:val="20"/>
        </w:rPr>
      </w:pPr>
      <w:r w:rsidRPr="009144F6">
        <w:rPr>
          <w:sz w:val="20"/>
          <w:szCs w:val="20"/>
        </w:rPr>
        <w:t>Pahuus, K., Jorgensen, M. S., &amp; Wagoner, B. (2024). Toward a cultural psychology of conspiracy theories: A life-narrative analysis of Flat Earthers. Integrative Psychological and Behavioral Science, 58, 1895-1913. https://doi.org/10.1007/s12124-024-09857-5</w:t>
      </w:r>
    </w:p>
    <w:p w14:paraId="3E6DA078" w14:textId="77777777" w:rsidR="00733B5F" w:rsidRPr="009144F6" w:rsidRDefault="00000000">
      <w:pPr>
        <w:pStyle w:val="BodyText"/>
        <w:rPr>
          <w:sz w:val="20"/>
          <w:szCs w:val="20"/>
        </w:rPr>
      </w:pPr>
      <w:r w:rsidRPr="009144F6">
        <w:rPr>
          <w:sz w:val="20"/>
          <w:szCs w:val="20"/>
        </w:rPr>
        <w:t>Pannofino, N. L. (2024). The 'global' deception: Flat-Earth conspiracy theory between science and religion. Genealogy, 8(2), 32. https://doi.org/10.3390/genealogy8020032</w:t>
      </w:r>
    </w:p>
    <w:p w14:paraId="0EB1F4B0" w14:textId="77777777" w:rsidR="00733B5F" w:rsidRPr="009144F6" w:rsidRDefault="00000000">
      <w:pPr>
        <w:pStyle w:val="BodyText"/>
        <w:rPr>
          <w:sz w:val="20"/>
          <w:szCs w:val="20"/>
        </w:rPr>
      </w:pPr>
      <w:r w:rsidRPr="009144F6">
        <w:rPr>
          <w:sz w:val="20"/>
          <w:szCs w:val="20"/>
        </w:rPr>
        <w:t>Russell, J. B. (1991). Inventing the flat Earth: Columbus and modern historians. Praeger. (Revised paperback edition published 1997.)</w:t>
      </w:r>
    </w:p>
    <w:p w14:paraId="5C04B64A" w14:textId="77777777" w:rsidR="00733B5F" w:rsidRPr="009144F6" w:rsidRDefault="00000000">
      <w:pPr>
        <w:pStyle w:val="BodyText"/>
        <w:rPr>
          <w:sz w:val="20"/>
          <w:szCs w:val="20"/>
        </w:rPr>
      </w:pPr>
      <w:r w:rsidRPr="009144F6">
        <w:rPr>
          <w:sz w:val="20"/>
          <w:szCs w:val="20"/>
        </w:rPr>
        <w:t>Sommeria, J. (2017). Foucault and the rotation of the Earth. Comptes Rendus Physique, 18(9-10), 520-525. https://doi.org/10.1016/j.crhy.2017.11.003</w:t>
      </w:r>
    </w:p>
    <w:p w14:paraId="3BD2111F" w14:textId="77777777" w:rsidR="00733B5F" w:rsidRPr="009144F6" w:rsidRDefault="00000000">
      <w:pPr>
        <w:pStyle w:val="BodyText"/>
        <w:rPr>
          <w:sz w:val="20"/>
          <w:szCs w:val="20"/>
        </w:rPr>
      </w:pPr>
      <w:r w:rsidRPr="009144F6">
        <w:rPr>
          <w:sz w:val="20"/>
          <w:szCs w:val="20"/>
        </w:rPr>
        <w:t>Urman, A., Makhortykh, M., Ulloa, R., &amp; Kulshrestha, J. (2022). Where the earth is flat and 9/11 is an inside job: A comparative algorithm audit of conspiratorial information in web search results. Telematics and Informatics, 72, 101860. https://doi.org/10.1016/j.tele.2022.101860</w:t>
      </w:r>
    </w:p>
    <w:p w14:paraId="04E79CBF" w14:textId="77777777" w:rsidR="00733B5F" w:rsidRPr="009144F6" w:rsidRDefault="00000000">
      <w:pPr>
        <w:pStyle w:val="Heading2"/>
        <w:rPr>
          <w:sz w:val="20"/>
          <w:szCs w:val="20"/>
        </w:rPr>
      </w:pPr>
      <w:bookmarkStart w:id="45" w:name="source-note"/>
      <w:r w:rsidRPr="009144F6">
        <w:rPr>
          <w:sz w:val="20"/>
          <w:szCs w:val="20"/>
        </w:rPr>
        <w:t>Source note</w:t>
      </w:r>
    </w:p>
    <w:p w14:paraId="4474EDA1" w14:textId="77777777" w:rsidR="00733B5F" w:rsidRPr="009144F6" w:rsidRDefault="00000000">
      <w:pPr>
        <w:pStyle w:val="FirstParagraph"/>
        <w:rPr>
          <w:sz w:val="20"/>
          <w:szCs w:val="20"/>
        </w:rPr>
      </w:pPr>
      <w:r w:rsidRPr="009144F6">
        <w:rPr>
          <w:sz w:val="20"/>
          <w:szCs w:val="20"/>
        </w:rPr>
        <w:t>The Horizon Watch working outline supplied the conceptual structure, chapter questions, evidence categories, Columbus classroom framing, and core "disinformation vacuum" thesis for this paper. External sources were used to verify, qualify, and expand historical, navigational, geodetic, Antarctic, philosophical, and psychological claims. Where the working outline proposed an interpretation that is not itself an established empirical finding - particularly the causal sequence of institutional error leading to later misinformation susceptibility - this paper labels the proposition as a conceptual hypothesis rather than presenting it as settled research.</w:t>
      </w:r>
    </w:p>
    <w:p w14:paraId="54CD13B3" w14:textId="77777777" w:rsidR="00733B5F" w:rsidRDefault="00000000">
      <w:r>
        <w:br w:type="page"/>
      </w:r>
    </w:p>
    <w:p w14:paraId="5A79AE8A" w14:textId="77777777" w:rsidR="00733B5F" w:rsidRDefault="00000000">
      <w:pPr>
        <w:pStyle w:val="Heading1"/>
      </w:pPr>
      <w:bookmarkStart w:id="46" w:name="epilogue-the-real-horizon-file"/>
      <w:bookmarkEnd w:id="44"/>
      <w:bookmarkEnd w:id="45"/>
      <w:r>
        <w:lastRenderedPageBreak/>
        <w:t>Epilogue: The Real Horizon File</w:t>
      </w:r>
    </w:p>
    <w:p w14:paraId="0929CF49" w14:textId="77777777" w:rsidR="00733B5F" w:rsidRDefault="00000000">
      <w:pPr>
        <w:pStyle w:val="FirstParagraph"/>
      </w:pPr>
      <w:r>
        <w:t>Return, for a moment, to the third-grade classroom that opened this investigation. Perhaps the important discovery was never whether Christopher Columbus proved the Earth was round. He did not. The more interesting discovery is that generations of schoolchildren were apparently taught that he did.</w:t>
      </w:r>
    </w:p>
    <w:p w14:paraId="2401CD42" w14:textId="77777777" w:rsidR="00733B5F" w:rsidRDefault="00000000">
      <w:pPr>
        <w:pStyle w:val="BodyText"/>
      </w:pPr>
      <w:r>
        <w:t>That does not prove a flat Earth. It proves something considerably more relevant to Horizon Watch’s purpose: never confuse the reliability of a source with the truth of a claim. A trusted source can be wrong. An untrusted source can be right. A conspiracy theorist can discover a genuine historical error. A respected institution can repeat mythology. None of those facts determines whether the next claim is true. Every claim has to earn its position independently.</w:t>
      </w:r>
    </w:p>
    <w:p w14:paraId="742C171E" w14:textId="77777777" w:rsidR="00733B5F" w:rsidRDefault="00000000">
      <w:pPr>
        <w:pStyle w:val="BodyText"/>
      </w:pPr>
      <w:r>
        <w:t>That may ultimately be the real reason for investigating Flat Earth - not because the Earth is likely to be flat, but because learning why convincing evidence can lead to the wrong conclusion is one of the most valuable research skills a mariner, a historian, or any investigator can develop.</w:t>
      </w:r>
    </w:p>
    <w:p w14:paraId="13001952" w14:textId="77777777" w:rsidR="00A67AEA" w:rsidRDefault="00A67AEA">
      <w:pPr>
        <w:pStyle w:val="BodyText"/>
      </w:pPr>
    </w:p>
    <w:p w14:paraId="71A77646" w14:textId="77777777" w:rsidR="00A67AEA" w:rsidRDefault="00A67AEA">
      <w:pPr>
        <w:pStyle w:val="BodyText"/>
      </w:pPr>
    </w:p>
    <w:p w14:paraId="472BAADC" w14:textId="77777777" w:rsidR="00A67AEA" w:rsidRDefault="00A67AEA">
      <w:pPr>
        <w:pStyle w:val="BodyText"/>
      </w:pPr>
    </w:p>
    <w:p w14:paraId="5A7FD84D" w14:textId="77777777" w:rsidR="00733B5F" w:rsidRDefault="00000000">
      <w:pPr>
        <w:pStyle w:val="HWCentered"/>
      </w:pPr>
      <w:r>
        <w:rPr>
          <w:i/>
          <w:iCs/>
        </w:rPr>
        <w:t>Observe the Earth.</w:t>
      </w:r>
      <w:r>
        <w:t xml:space="preserve"> </w:t>
      </w:r>
      <w:r>
        <w:rPr>
          <w:i/>
          <w:iCs/>
        </w:rPr>
        <w:t>Question the story.</w:t>
      </w:r>
      <w:r>
        <w:t xml:space="preserve"> </w:t>
      </w:r>
      <w:r>
        <w:rPr>
          <w:i/>
          <w:iCs/>
        </w:rPr>
        <w:t>Test the evidence.</w:t>
      </w:r>
      <w:r>
        <w:t xml:space="preserve"> </w:t>
      </w:r>
      <w:r>
        <w:rPr>
          <w:i/>
          <w:iCs/>
        </w:rPr>
        <w:t>Follow it wherever it leads.</w:t>
      </w:r>
    </w:p>
    <w:p w14:paraId="7599EC4B" w14:textId="77777777" w:rsidR="00733B5F" w:rsidRDefault="00000000">
      <w:pPr>
        <w:pStyle w:val="HWCentered"/>
      </w:pPr>
      <w:r>
        <w:rPr>
          <w:noProof/>
        </w:rPr>
        <w:drawing>
          <wp:inline distT="0" distB="0" distL="0" distR="0" wp14:anchorId="7B275C78" wp14:editId="30135464">
            <wp:extent cx="822960" cy="820978"/>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70" name="Picture" descr="assets/logo_transparent.png"/>
                    <pic:cNvPicPr>
                      <a:picLocks noChangeAspect="1" noChangeArrowheads="1"/>
                    </pic:cNvPicPr>
                  </pic:nvPicPr>
                  <pic:blipFill>
                    <a:blip r:embed="rId8"/>
                    <a:stretch>
                      <a:fillRect/>
                    </a:stretch>
                  </pic:blipFill>
                  <pic:spPr bwMode="auto">
                    <a:xfrm>
                      <a:off x="0" y="0"/>
                      <a:ext cx="822960" cy="820978"/>
                    </a:xfrm>
                    <a:prstGeom prst="rect">
                      <a:avLst/>
                    </a:prstGeom>
                    <a:noFill/>
                    <a:ln w="9525">
                      <a:noFill/>
                      <a:headEnd/>
                      <a:tailEnd/>
                    </a:ln>
                  </pic:spPr>
                </pic:pic>
              </a:graphicData>
            </a:graphic>
          </wp:inline>
        </w:drawing>
      </w:r>
    </w:p>
    <w:p w14:paraId="3DC198F1" w14:textId="245A25D3" w:rsidR="00A67AEA" w:rsidRDefault="00000000" w:rsidP="00A67AEA">
      <w:pPr>
        <w:pStyle w:val="HWTagline"/>
      </w:pPr>
      <w:r>
        <w:t>Investigating the Unusual. Following the Evidence.</w:t>
      </w:r>
    </w:p>
    <w:p w14:paraId="634E160F" w14:textId="77777777" w:rsidR="00A67AEA" w:rsidRDefault="00A67AEA" w:rsidP="00A67AEA">
      <w:pPr>
        <w:pStyle w:val="HWTagline"/>
        <w:jc w:val="left"/>
        <w:rPr>
          <w:i w:val="0"/>
          <w:iCs/>
        </w:rPr>
      </w:pPr>
    </w:p>
    <w:p w14:paraId="4A5F141A" w14:textId="77777777" w:rsidR="00A67AEA" w:rsidRDefault="00A67AEA" w:rsidP="00A67AEA">
      <w:pPr>
        <w:pStyle w:val="BodyText"/>
        <w:jc w:val="center"/>
      </w:pPr>
      <w:hyperlink r:id="rId9" w:history="1">
        <w:r w:rsidRPr="00A67AEA">
          <w:rPr>
            <w:rStyle w:val="Hyperlink"/>
            <w:b/>
            <w:bCs/>
            <w:sz w:val="24"/>
          </w:rPr>
          <w:t>hello@horizonwatch.app</w:t>
        </w:r>
      </w:hyperlink>
    </w:p>
    <w:p w14:paraId="2F966290" w14:textId="77777777" w:rsidR="0025250B" w:rsidRDefault="0025250B" w:rsidP="00A67AEA">
      <w:pPr>
        <w:pStyle w:val="BodyText"/>
        <w:jc w:val="center"/>
      </w:pPr>
    </w:p>
    <w:p w14:paraId="3F1B48F1" w14:textId="77777777" w:rsidR="0025250B" w:rsidRDefault="0025250B" w:rsidP="00A67AEA">
      <w:pPr>
        <w:pStyle w:val="BodyText"/>
        <w:jc w:val="center"/>
      </w:pPr>
    </w:p>
    <w:p w14:paraId="2A148623" w14:textId="77777777" w:rsidR="0025250B" w:rsidRDefault="0025250B" w:rsidP="00A67AEA">
      <w:pPr>
        <w:pStyle w:val="BodyText"/>
        <w:jc w:val="center"/>
      </w:pPr>
    </w:p>
    <w:p w14:paraId="4B1C4996" w14:textId="77777777" w:rsidR="0025250B" w:rsidRDefault="0025250B" w:rsidP="00A67AEA">
      <w:pPr>
        <w:pStyle w:val="BodyText"/>
        <w:jc w:val="center"/>
      </w:pPr>
    </w:p>
    <w:p w14:paraId="1A69D277" w14:textId="77777777" w:rsidR="0025250B" w:rsidRDefault="0025250B" w:rsidP="0025250B">
      <w:pPr>
        <w:pStyle w:val="isselectedend"/>
      </w:pPr>
      <w:r>
        <w:rPr>
          <w:rStyle w:val="Strong"/>
        </w:rPr>
        <w:t>DISCLAIMER</w:t>
      </w:r>
      <w:r>
        <w:br/>
        <w:t>This presentation is for educational and investigative purposes. The discussion of any claim or theory does not constitute endorsement. AI tools were used in portions of the research and production. Viewers are encouraged to examine the evidence and reach their own conclusions.</w:t>
      </w:r>
    </w:p>
    <w:p w14:paraId="4B1C0701" w14:textId="173FD656" w:rsidR="00A67AEA" w:rsidRPr="0025250B" w:rsidRDefault="0025250B" w:rsidP="0025250B">
      <w:pPr>
        <w:pStyle w:val="NormalWeb"/>
      </w:pPr>
      <w:r>
        <w:rPr>
          <w:rStyle w:val="Strong"/>
        </w:rPr>
        <w:t>© 2026 Horizon Watch LLC. All Rights Reserved.</w:t>
      </w:r>
      <w:r>
        <w:br/>
      </w:r>
      <w:bookmarkEnd w:id="46"/>
    </w:p>
    <w:sectPr w:rsidR="00A67AEA" w:rsidRPr="0025250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A7B4E" w14:textId="77777777" w:rsidR="004E653C" w:rsidRDefault="004E653C">
      <w:pPr>
        <w:spacing w:after="0"/>
      </w:pPr>
      <w:r>
        <w:separator/>
      </w:r>
    </w:p>
  </w:endnote>
  <w:endnote w:type="continuationSeparator" w:id="0">
    <w:p w14:paraId="24BFDA1E" w14:textId="77777777" w:rsidR="004E653C" w:rsidRDefault="004E65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594D4" w14:textId="77777777" w:rsidR="004E653C" w:rsidRDefault="004E653C">
      <w:r>
        <w:separator/>
      </w:r>
    </w:p>
  </w:footnote>
  <w:footnote w:type="continuationSeparator" w:id="0">
    <w:p w14:paraId="217C26AD" w14:textId="77777777" w:rsidR="004E653C" w:rsidRDefault="004E6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C286E2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3034CA6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047487266">
    <w:abstractNumId w:val="0"/>
  </w:num>
  <w:num w:numId="2" w16cid:durableId="1983457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5F"/>
    <w:rsid w:val="00025347"/>
    <w:rsid w:val="0025250B"/>
    <w:rsid w:val="002E3F07"/>
    <w:rsid w:val="002F458B"/>
    <w:rsid w:val="003F23CC"/>
    <w:rsid w:val="003F671B"/>
    <w:rsid w:val="004E653C"/>
    <w:rsid w:val="00733B5F"/>
    <w:rsid w:val="009144F6"/>
    <w:rsid w:val="009F2A01"/>
    <w:rsid w:val="00A67AEA"/>
    <w:rsid w:val="00DB146D"/>
    <w:rsid w:val="00DE3B5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41A19"/>
  <w15:docId w15:val="{41552641-97E4-48E6-BC18-A21A7C6F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Helvetica" w:hAnsi="Helvetica" w:cs="Helvetica"/>
      <w:color w:val="1A1A1A"/>
      <w:sz w:val="22"/>
    </w:rPr>
  </w:style>
  <w:style w:type="paragraph" w:styleId="Heading1">
    <w:name w:val="heading 1"/>
    <w:basedOn w:val="Normal"/>
    <w:next w:val="BodyText"/>
    <w:uiPriority w:val="9"/>
    <w:qFormat/>
    <w:pPr>
      <w:keepNext/>
      <w:keepLines/>
      <w:pBdr>
        <w:bottom w:val="single" w:sz="10" w:space="4" w:color="F5B800"/>
      </w:pBdr>
      <w:spacing w:before="440" w:after="160"/>
      <w:outlineLvl w:val="0"/>
    </w:pPr>
    <w:rPr>
      <w:rFonts w:asciiTheme="majorHAnsi" w:eastAsiaTheme="majorEastAsia" w:hAnsiTheme="majorHAnsi" w:cstheme="majorBidi"/>
      <w:b/>
      <w:bCs/>
      <w:color w:val="041E47"/>
      <w:sz w:val="36"/>
      <w:szCs w:val="32"/>
    </w:rPr>
  </w:style>
  <w:style w:type="paragraph" w:styleId="Heading2">
    <w:name w:val="heading 2"/>
    <w:basedOn w:val="Normal"/>
    <w:next w:val="BodyText"/>
    <w:uiPriority w:val="9"/>
    <w:unhideWhenUsed/>
    <w:qFormat/>
    <w:pPr>
      <w:keepNext/>
      <w:keepLines/>
      <w:spacing w:before="320" w:after="120"/>
      <w:outlineLvl w:val="1"/>
    </w:pPr>
    <w:rPr>
      <w:rFonts w:asciiTheme="majorHAnsi" w:eastAsiaTheme="majorEastAsia" w:hAnsiTheme="majorHAnsi" w:cstheme="majorBidi"/>
      <w:b/>
      <w:bCs/>
      <w:color w:val="006CC5"/>
      <w:sz w:val="28"/>
      <w:szCs w:val="28"/>
    </w:rPr>
  </w:style>
  <w:style w:type="paragraph" w:styleId="Heading3">
    <w:name w:val="heading 3"/>
    <w:basedOn w:val="Normal"/>
    <w:next w:val="BodyText"/>
    <w:uiPriority w:val="9"/>
    <w:unhideWhenUsed/>
    <w:qFormat/>
    <w:pPr>
      <w:keepNext/>
      <w:keepLines/>
      <w:spacing w:before="240" w:after="80"/>
      <w:outlineLvl w:val="2"/>
    </w:pPr>
    <w:rPr>
      <w:rFonts w:asciiTheme="majorHAnsi" w:eastAsiaTheme="majorEastAsia" w:hAnsiTheme="majorHAnsi" w:cstheme="majorBidi"/>
      <w:b/>
      <w:bCs/>
      <w:color w:val="00A9EE"/>
      <w:sz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120"/>
      <w:jc w:val="center"/>
    </w:pPr>
    <w:rPr>
      <w:rFonts w:asciiTheme="majorHAnsi" w:eastAsiaTheme="majorEastAsia" w:hAnsiTheme="majorHAnsi" w:cstheme="majorBidi"/>
      <w:b/>
      <w:bCs/>
      <w:color w:val="041E47"/>
      <w:sz w:val="60"/>
      <w:szCs w:val="36"/>
    </w:rPr>
  </w:style>
  <w:style w:type="paragraph" w:styleId="Subtitle">
    <w:name w:val="Subtitle"/>
    <w:basedOn w:val="Title"/>
    <w:next w:val="BodyText"/>
    <w:qFormat/>
    <w:pPr>
      <w:spacing w:before="240" w:after="240"/>
    </w:pPr>
    <w:rPr>
      <w:rFonts w:ascii="Helvetica" w:eastAsia="Helvetica" w:hAnsi="Helvetica" w:cs="Helvetica"/>
      <w:b w:val="0"/>
      <w:color w:val="006CC5"/>
      <w:sz w:val="30"/>
      <w:szCs w:val="30"/>
    </w:rPr>
  </w:style>
  <w:style w:type="paragraph" w:customStyle="1" w:styleId="Author">
    <w:name w:val="Author"/>
    <w:next w:val="BodyText"/>
    <w:qFormat/>
    <w:pPr>
      <w:keepNext/>
      <w:keepLines/>
      <w:jc w:val="center"/>
    </w:pPr>
    <w:rPr>
      <w:rFonts w:ascii="Helvetica" w:eastAsia="Helvetica" w:hAnsi="Helvetica" w:cs="Helvetica"/>
      <w:color w:val="041E47"/>
    </w:rPr>
  </w:style>
  <w:style w:type="paragraph" w:styleId="Date">
    <w:name w:val="Date"/>
    <w:next w:val="BodyText"/>
    <w:qFormat/>
    <w:pPr>
      <w:keepNext/>
      <w:keepLines/>
      <w:jc w:val="center"/>
    </w:pPr>
    <w:rPr>
      <w:rFonts w:ascii="Helvetica" w:eastAsia="Helvetica" w:hAnsi="Helvetica" w:cs="Helvetica"/>
      <w:color w:val="041E47"/>
      <w:sz w:val="22"/>
    </w:rPr>
  </w:style>
  <w:style w:type="paragraph" w:customStyle="1" w:styleId="AbstractTitle">
    <w:name w:val="Abstract Title"/>
    <w:basedOn w:val="Normal"/>
    <w:next w:val="Abstract"/>
    <w:qFormat/>
    <w:pPr>
      <w:keepNext/>
      <w:keepLines/>
      <w:spacing w:before="300" w:after="0"/>
      <w:jc w:val="center"/>
    </w:pPr>
    <w:rPr>
      <w:b/>
      <w:color w:val="041E47"/>
      <w:sz w:val="26"/>
      <w:szCs w:val="20"/>
    </w:rPr>
  </w:style>
  <w:style w:type="paragraph" w:customStyle="1" w:styleId="Abstract">
    <w:name w:val="Abstract"/>
    <w:basedOn w:val="Normal"/>
    <w:next w:val="BodyText"/>
    <w:qFormat/>
    <w:pPr>
      <w:keepNext/>
      <w:keepLines/>
      <w:spacing w:before="100" w:after="300"/>
    </w:pPr>
    <w:rPr>
      <w:i/>
      <w:color w:val="2A2A2A"/>
      <w:sz w:val="21"/>
      <w:szCs w:val="20"/>
    </w:rPr>
  </w:style>
  <w:style w:type="paragraph" w:styleId="Bibliography">
    <w:name w:val="Bibliography"/>
    <w:basedOn w:val="Normal"/>
    <w:qFormat/>
  </w:style>
  <w:style w:type="paragraph" w:styleId="BlockText">
    <w:name w:val="Block Text"/>
    <w:basedOn w:val="BodyText"/>
    <w:next w:val="BodyText"/>
    <w:uiPriority w:val="9"/>
    <w:unhideWhenUsed/>
    <w:qFormat/>
    <w:pPr>
      <w:pBdr>
        <w:left w:val="single" w:sz="24" w:space="8" w:color="F5B800"/>
      </w:pBdr>
      <w:shd w:val="clear" w:color="auto" w:fill="FFF6DA"/>
      <w:spacing w:before="120" w:after="120"/>
      <w:ind w:left="360" w:right="360"/>
    </w:pPr>
    <w:rPr>
      <w:i/>
      <w:color w:val="041E47"/>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rPr>
        <w:rFonts w:ascii="Helvetica" w:hAnsi="Helvetica"/>
        <w:b/>
        <w:color w:val="FFFFFF"/>
      </w:rPr>
      <w:tblPr>
        <w:jc w:val="left"/>
      </w:tblPr>
      <w:trPr>
        <w:jc w:val="left"/>
      </w:trPr>
      <w:tcPr>
        <w:tcBorders>
          <w:bottom w:val="single" w:sz="0" w:space="0" w:color="auto"/>
        </w:tcBorders>
        <w:shd w:val="clear" w:color="auto" w:fill="041E47"/>
        <w:vAlign w:val="top"/>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Cs w:val="0"/>
      <w:sz w:val="32"/>
    </w:rPr>
  </w:style>
  <w:style w:type="paragraph" w:customStyle="1" w:styleId="HWTagline">
    <w:name w:val="HW Tagline"/>
    <w:basedOn w:val="Normal"/>
    <w:pPr>
      <w:spacing w:after="80"/>
      <w:jc w:val="center"/>
    </w:pPr>
    <w:rPr>
      <w:i/>
      <w:color w:val="B88A00"/>
      <w:sz w:val="26"/>
    </w:rPr>
  </w:style>
  <w:style w:type="paragraph" w:customStyle="1" w:styleId="HWBrandWords">
    <w:name w:val="HW Brand Words"/>
    <w:basedOn w:val="Normal"/>
    <w:pPr>
      <w:spacing w:after="0"/>
      <w:jc w:val="center"/>
    </w:pPr>
    <w:rPr>
      <w:b/>
      <w:color w:val="041E47"/>
      <w:sz w:val="20"/>
    </w:rPr>
  </w:style>
  <w:style w:type="paragraph" w:customStyle="1" w:styleId="HWCentered">
    <w:name w:val="HW Centered"/>
    <w:basedOn w:val="Normal"/>
    <w:pPr>
      <w:jc w:val="center"/>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A67AEA"/>
    <w:rPr>
      <w:color w:val="605E5C"/>
      <w:shd w:val="clear" w:color="auto" w:fill="E1DFDD"/>
    </w:rPr>
  </w:style>
  <w:style w:type="paragraph" w:customStyle="1" w:styleId="isselectedend">
    <w:name w:val="isselectedend"/>
    <w:basedOn w:val="Normal"/>
    <w:rsid w:val="0025250B"/>
    <w:pPr>
      <w:spacing w:before="100" w:beforeAutospacing="1" w:after="100" w:afterAutospacing="1"/>
    </w:pPr>
    <w:rPr>
      <w:rFonts w:ascii="Times New Roman" w:eastAsia="Times New Roman" w:hAnsi="Times New Roman" w:cs="Times New Roman"/>
      <w:color w:val="auto"/>
      <w:sz w:val="24"/>
    </w:rPr>
  </w:style>
  <w:style w:type="character" w:styleId="Strong">
    <w:name w:val="Strong"/>
    <w:basedOn w:val="DefaultParagraphFont"/>
    <w:uiPriority w:val="22"/>
    <w:qFormat/>
    <w:rsid w:val="0025250B"/>
    <w:rPr>
      <w:b/>
      <w:bCs/>
    </w:rPr>
  </w:style>
  <w:style w:type="paragraph" w:styleId="NormalWeb">
    <w:name w:val="Normal (Web)"/>
    <w:basedOn w:val="Normal"/>
    <w:uiPriority w:val="99"/>
    <w:unhideWhenUsed/>
    <w:rsid w:val="0025250B"/>
    <w:pPr>
      <w:spacing w:before="100" w:beforeAutospacing="1" w:after="100" w:afterAutospacing="1"/>
    </w:pPr>
    <w:rPr>
      <w:rFonts w:ascii="Times New Roman" w:eastAsia="Times New Roman" w:hAnsi="Times New Roman" w:cs="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llo@horizonwatch.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04FF3-6289-4503-931D-F994201D2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24</Pages>
  <Words>9498</Words>
  <Characters>58698</Characters>
  <Application>Microsoft Office Word</Application>
  <DocSecurity>0</DocSecurity>
  <Lines>1012</Lines>
  <Paragraphs>360</Paragraphs>
  <ScaleCrop>false</ScaleCrop>
  <HeadingPairs>
    <vt:vector size="2" baseType="variant">
      <vt:variant>
        <vt:lpstr>Title</vt:lpstr>
      </vt:variant>
      <vt:variant>
        <vt:i4>1</vt:i4>
      </vt:variant>
    </vt:vector>
  </HeadingPairs>
  <TitlesOfParts>
    <vt:vector size="1" baseType="lpstr">
      <vt:lpstr>Beyond the Horizon</vt:lpstr>
    </vt:vector>
  </TitlesOfParts>
  <Company/>
  <LinksUpToDate>false</LinksUpToDate>
  <CharactersWithSpaces>67836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Horizon</dc:title>
  <dc:creator>Horizon Watch Research Division</dc:creator>
  <cp:keywords/>
  <cp:lastModifiedBy>Rich Green</cp:lastModifiedBy>
  <cp:revision>6</cp:revision>
  <dcterms:created xsi:type="dcterms:W3CDTF">2026-08-24T18:12:00Z</dcterms:created>
  <dcterms:modified xsi:type="dcterms:W3CDTF">2026-08-24T18:20:00Z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2026</vt:lpwstr>
  </property>
  <property fmtid="{D5CDD505-2E9C-101B-9397-08002B2CF9AE}" pid="3" name="subtitle">
    <vt:lpwstr>Flat Earth as a Case Study in Evidence, Maritime Observation, Historical Mythmaking, and Institutional Trust</vt:lpwstr>
  </property>
</Properties>
</file>