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3313" w14:textId="77777777" w:rsidR="0013291B" w:rsidRPr="00ED1F89" w:rsidRDefault="0013291B" w:rsidP="00ED1F89">
      <w:pPr>
        <w:jc w:val="center"/>
        <w:rPr>
          <w:b/>
          <w:bCs/>
          <w:sz w:val="20"/>
          <w:szCs w:val="20"/>
        </w:rPr>
      </w:pPr>
      <w:r w:rsidRPr="00ED1F89">
        <w:rPr>
          <w:b/>
          <w:bCs/>
          <w:sz w:val="20"/>
          <w:szCs w:val="20"/>
        </w:rPr>
        <w:t>Horizon Watch Report</w:t>
      </w:r>
    </w:p>
    <w:p w14:paraId="0D911F38" w14:textId="77777777" w:rsidR="0013291B" w:rsidRPr="00ED1F89" w:rsidRDefault="0013291B" w:rsidP="0013291B">
      <w:pPr>
        <w:rPr>
          <w:b/>
          <w:bCs/>
          <w:sz w:val="20"/>
          <w:szCs w:val="20"/>
        </w:rPr>
      </w:pPr>
      <w:r w:rsidRPr="00ED1F89">
        <w:rPr>
          <w:b/>
          <w:bCs/>
          <w:sz w:val="20"/>
          <w:szCs w:val="20"/>
        </w:rPr>
        <w:t>Observing the Earth. Following the Evidence. Preparing with Common Sense.</w:t>
      </w:r>
    </w:p>
    <w:p w14:paraId="13676D7B" w14:textId="77777777" w:rsidR="0013291B" w:rsidRPr="00ED1F89" w:rsidRDefault="0013291B" w:rsidP="0013291B">
      <w:pPr>
        <w:rPr>
          <w:b/>
          <w:bCs/>
          <w:sz w:val="20"/>
          <w:szCs w:val="20"/>
        </w:rPr>
      </w:pPr>
      <w:r w:rsidRPr="00ED1F89">
        <w:rPr>
          <w:b/>
          <w:bCs/>
          <w:sz w:val="20"/>
          <w:szCs w:val="20"/>
        </w:rPr>
        <w:t>Introduction</w:t>
      </w:r>
    </w:p>
    <w:p w14:paraId="01DFBBC3" w14:textId="77777777" w:rsidR="0013291B" w:rsidRPr="00ED1F89" w:rsidRDefault="0013291B" w:rsidP="0013291B">
      <w:pPr>
        <w:rPr>
          <w:sz w:val="20"/>
          <w:szCs w:val="20"/>
        </w:rPr>
      </w:pPr>
      <w:r w:rsidRPr="00ED1F89">
        <w:rPr>
          <w:b/>
          <w:bCs/>
          <w:sz w:val="20"/>
          <w:szCs w:val="20"/>
        </w:rPr>
        <w:t>Horizon Watch</w:t>
      </w:r>
      <w:r w:rsidRPr="00ED1F89">
        <w:rPr>
          <w:sz w:val="20"/>
          <w:szCs w:val="20"/>
        </w:rPr>
        <w:t xml:space="preserve"> is built around a simple idea: the world is changing, and serious people should pay attention without panic, without blind trust, and without political theater. The project sits at the intersection of geophysical news, solar activity, ocean systems, climate debate, maritime experience, adventure, sportfishing, sailing, yachting, and practical preparedness.</w:t>
      </w:r>
    </w:p>
    <w:p w14:paraId="7F32E487" w14:textId="77777777" w:rsidR="0013291B" w:rsidRPr="00ED1F89" w:rsidRDefault="0013291B" w:rsidP="0013291B">
      <w:pPr>
        <w:rPr>
          <w:sz w:val="20"/>
          <w:szCs w:val="20"/>
        </w:rPr>
      </w:pPr>
      <w:r w:rsidRPr="00ED1F89">
        <w:rPr>
          <w:sz w:val="20"/>
          <w:szCs w:val="20"/>
        </w:rPr>
        <w:t xml:space="preserve">The tone should be steady, curious, and grounded. Horizon Watch should not be a doom channel. It should not be a political propaganda outlet either. It should be a </w:t>
      </w:r>
      <w:proofErr w:type="spellStart"/>
      <w:r w:rsidRPr="00ED1F89">
        <w:rPr>
          <w:sz w:val="20"/>
          <w:szCs w:val="20"/>
        </w:rPr>
        <w:t>watchstanding</w:t>
      </w:r>
      <w:proofErr w:type="spellEnd"/>
      <w:r w:rsidRPr="00ED1F89">
        <w:rPr>
          <w:sz w:val="20"/>
          <w:szCs w:val="20"/>
        </w:rPr>
        <w:t xml:space="preserve"> platform: scan the horizon, identify real risks, separate signal from noise, and talk through what those changes could mean for ordinary people, coastal communities, boaters, businesses, and future generations.</w:t>
      </w:r>
    </w:p>
    <w:p w14:paraId="5E761431" w14:textId="77777777" w:rsidR="0013291B" w:rsidRPr="00ED1F89" w:rsidRDefault="0013291B" w:rsidP="0013291B">
      <w:pPr>
        <w:rPr>
          <w:sz w:val="20"/>
          <w:szCs w:val="20"/>
        </w:rPr>
      </w:pPr>
      <w:r w:rsidRPr="00ED1F89">
        <w:rPr>
          <w:sz w:val="20"/>
          <w:szCs w:val="20"/>
        </w:rPr>
        <w:t xml:space="preserve">As a captain, every serious risk assessment includes a </w:t>
      </w:r>
      <w:r w:rsidRPr="00ED1F89">
        <w:rPr>
          <w:b/>
          <w:bCs/>
          <w:sz w:val="20"/>
          <w:szCs w:val="20"/>
        </w:rPr>
        <w:t>worst-case scenario</w:t>
      </w:r>
      <w:r w:rsidRPr="00ED1F89">
        <w:rPr>
          <w:sz w:val="20"/>
          <w:szCs w:val="20"/>
        </w:rPr>
        <w:t xml:space="preserve">. That does not mean we expect the worst every time we leave the dock. It means we are professional enough to ask, “What happens if the engine quits? What happens if the weather turns? What happens if communications fail? What happens if the person on deck gets hurt?” The same logic should apply to our home planet. We do not need fearmongering. We need seamanship applied to Earth systems: </w:t>
      </w:r>
      <w:r w:rsidRPr="00ED1F89">
        <w:rPr>
          <w:b/>
          <w:bCs/>
          <w:sz w:val="20"/>
          <w:szCs w:val="20"/>
        </w:rPr>
        <w:t>prepare for the worst, hope for the best.</w:t>
      </w:r>
    </w:p>
    <w:p w14:paraId="72F18406" w14:textId="77777777" w:rsidR="0013291B" w:rsidRPr="00ED1F89" w:rsidRDefault="0013291B" w:rsidP="0013291B">
      <w:pPr>
        <w:rPr>
          <w:sz w:val="20"/>
          <w:szCs w:val="20"/>
        </w:rPr>
      </w:pPr>
      <w:r w:rsidRPr="00ED1F89">
        <w:rPr>
          <w:sz w:val="20"/>
          <w:szCs w:val="20"/>
        </w:rPr>
        <w:t>Horizon Watch can use that maritime mindset as its foundation. Each topic can be examined through a clean structure: what we know, what we do not know, what the reasonable risk is, what the worst case looks like, and what practical preparation makes sense.</w:t>
      </w:r>
    </w:p>
    <w:p w14:paraId="3662CD6C" w14:textId="77777777" w:rsidR="0013291B" w:rsidRPr="00ED1F89" w:rsidRDefault="00000000" w:rsidP="0013291B">
      <w:pPr>
        <w:rPr>
          <w:sz w:val="20"/>
          <w:szCs w:val="20"/>
        </w:rPr>
      </w:pPr>
      <w:r w:rsidRPr="00ED1F89">
        <w:rPr>
          <w:sz w:val="20"/>
          <w:szCs w:val="20"/>
        </w:rPr>
        <w:pict w14:anchorId="5A64D8A9">
          <v:rect id="_x0000_i1025" style="width:0;height:1.5pt" o:hralign="center" o:hrstd="t" o:hr="t" fillcolor="#a0a0a0" stroked="f"/>
        </w:pict>
      </w:r>
    </w:p>
    <w:p w14:paraId="076F69CD" w14:textId="77777777" w:rsidR="0013291B" w:rsidRPr="00ED1F89" w:rsidRDefault="0013291B" w:rsidP="0013291B">
      <w:pPr>
        <w:rPr>
          <w:b/>
          <w:bCs/>
          <w:sz w:val="20"/>
          <w:szCs w:val="20"/>
        </w:rPr>
      </w:pPr>
      <w:r w:rsidRPr="00ED1F89">
        <w:rPr>
          <w:b/>
          <w:bCs/>
          <w:sz w:val="20"/>
          <w:szCs w:val="20"/>
        </w:rPr>
        <w:t>1. Geophysical Change</w:t>
      </w:r>
    </w:p>
    <w:p w14:paraId="583A8E7A" w14:textId="77777777" w:rsidR="0013291B" w:rsidRPr="00ED1F89" w:rsidRDefault="0013291B" w:rsidP="0013291B">
      <w:pPr>
        <w:rPr>
          <w:sz w:val="20"/>
          <w:szCs w:val="20"/>
        </w:rPr>
      </w:pPr>
      <w:r w:rsidRPr="00ED1F89">
        <w:rPr>
          <w:sz w:val="20"/>
          <w:szCs w:val="20"/>
        </w:rPr>
        <w:t>Geophysical change covers the large-scale systems that shape life on Earth: the Sun, the atmosphere, the oceans, the cryosphere, the magnetic field, seismic activity, volcanic activity, and long natural cycles. These systems are not isolated. A solar storm can affect satellites, GPS, power grids, aviation, communications, offshore operations, and emergency response. Ocean circulation changes can influence weather, fisheries, coastal flooding, and food production. Ice-sheet instability can change coastlines. Magnetic drift can affect navigation models and polar operations.</w:t>
      </w:r>
    </w:p>
    <w:p w14:paraId="5978B037" w14:textId="77777777" w:rsidR="0013291B" w:rsidRPr="00ED1F89" w:rsidRDefault="0013291B" w:rsidP="0013291B">
      <w:pPr>
        <w:rPr>
          <w:sz w:val="20"/>
          <w:szCs w:val="20"/>
        </w:rPr>
      </w:pPr>
      <w:r w:rsidRPr="00ED1F89">
        <w:rPr>
          <w:sz w:val="20"/>
          <w:szCs w:val="20"/>
        </w:rPr>
        <w:t>The central message for Horizon Watch should be that Earth is not static. It never has been. The planet has gone through ice ages, warm periods, sea-level shifts, magnetic excursions, volcanic winters, solar changes, and abrupt regional climate transitions. Modern society, however, is far more fragile in some ways because it depends on electronics, just-in-time logistics, satellites, undersea cables, grid stability, insurance markets, coastal infrastructure, and dense population centers.</w:t>
      </w:r>
    </w:p>
    <w:p w14:paraId="060D1C47" w14:textId="1FCBED16" w:rsidR="0013291B" w:rsidRPr="00ED1F89" w:rsidRDefault="0013291B" w:rsidP="0013291B">
      <w:pPr>
        <w:rPr>
          <w:sz w:val="20"/>
          <w:szCs w:val="20"/>
        </w:rPr>
      </w:pPr>
      <w:r w:rsidRPr="00ED1F89">
        <w:rPr>
          <w:b/>
          <w:bCs/>
          <w:sz w:val="20"/>
          <w:szCs w:val="20"/>
        </w:rPr>
        <w:t>Worst-case scenario:</w:t>
      </w:r>
      <w:r w:rsidRPr="00ED1F89">
        <w:rPr>
          <w:sz w:val="20"/>
          <w:szCs w:val="20"/>
        </w:rPr>
        <w:t xml:space="preserve"> the real danger is not one single geophysical change happening in isolation. The worst case is a cascading-risk environment: a major solar storm disrupts GPS and communications during hurricane season; power grids are overloaded; public trust collapses because every subject has been politicized. Horizon Watch should focus on these intersections because that is where the real-world consequences show up.</w:t>
      </w:r>
    </w:p>
    <w:p w14:paraId="400291A8" w14:textId="77777777" w:rsidR="0013291B" w:rsidRPr="00ED1F89" w:rsidRDefault="00000000" w:rsidP="0013291B">
      <w:pPr>
        <w:rPr>
          <w:sz w:val="20"/>
          <w:szCs w:val="20"/>
        </w:rPr>
      </w:pPr>
      <w:r w:rsidRPr="00ED1F89">
        <w:rPr>
          <w:sz w:val="20"/>
          <w:szCs w:val="20"/>
        </w:rPr>
        <w:pict w14:anchorId="69D8C11B">
          <v:rect id="_x0000_i1026" style="width:0;height:1.5pt" o:hralign="center" o:hrstd="t" o:hr="t" fillcolor="#a0a0a0" stroked="f"/>
        </w:pict>
      </w:r>
    </w:p>
    <w:p w14:paraId="3D9AA6E8" w14:textId="77777777" w:rsidR="0013291B" w:rsidRPr="00ED1F89" w:rsidRDefault="0013291B" w:rsidP="0013291B">
      <w:pPr>
        <w:rPr>
          <w:b/>
          <w:bCs/>
          <w:sz w:val="20"/>
          <w:szCs w:val="20"/>
        </w:rPr>
      </w:pPr>
      <w:r w:rsidRPr="00ED1F89">
        <w:rPr>
          <w:b/>
          <w:bCs/>
          <w:sz w:val="20"/>
          <w:szCs w:val="20"/>
        </w:rPr>
        <w:lastRenderedPageBreak/>
        <w:t>2. Solar Events</w:t>
      </w:r>
    </w:p>
    <w:p w14:paraId="7101FA0E" w14:textId="77777777" w:rsidR="0013291B" w:rsidRPr="00ED1F89" w:rsidRDefault="0013291B" w:rsidP="0013291B">
      <w:pPr>
        <w:rPr>
          <w:sz w:val="20"/>
          <w:szCs w:val="20"/>
        </w:rPr>
      </w:pPr>
      <w:r w:rsidRPr="00ED1F89">
        <w:rPr>
          <w:sz w:val="20"/>
          <w:szCs w:val="20"/>
        </w:rPr>
        <w:t>Solar events include sunspots, solar flares, coronal mass ejections, solar radiation storms, geomagnetic storms, and radio blackouts. The Sun follows an approximate 11-year cycle, and Solar Cycle 25 reached its maximum phase around 2024–2025, with NASA and NOAA noting that sunspot activity slightly exceeded earlier expectations. (</w:t>
      </w:r>
      <w:hyperlink r:id="rId4" w:tooltip="NASA, NOAA: Sun Reaches Maximum Phase in 11-Year Solar Cycle - NASA Science" w:history="1">
        <w:r w:rsidRPr="00ED1F89">
          <w:rPr>
            <w:rStyle w:val="Hyperlink"/>
            <w:sz w:val="20"/>
            <w:szCs w:val="20"/>
          </w:rPr>
          <w:t>NASA Science</w:t>
        </w:r>
      </w:hyperlink>
      <w:r w:rsidRPr="00ED1F89">
        <w:rPr>
          <w:sz w:val="20"/>
          <w:szCs w:val="20"/>
        </w:rPr>
        <w:t>) NOAA’s space-weather scale treats geomagnetic storms somewhat like hurricanes or earthquakes, with G5 being “Extreme.” At the G5 level, NOAA warns that some grid systems may experience collapse or blackouts, transformers can be damaged, satellite navigation can be degraded for days, high-frequency radio may be impossible in many areas for one to two days, and aurora can appear as far south as Florida and southern Texas. (</w:t>
      </w:r>
      <w:hyperlink r:id="rId5" w:tooltip="NOAA Space Weather Scales | NOAA / NWS Space Weather Prediction Center" w:history="1">
        <w:r w:rsidRPr="00ED1F89">
          <w:rPr>
            <w:rStyle w:val="Hyperlink"/>
            <w:sz w:val="20"/>
            <w:szCs w:val="20"/>
          </w:rPr>
          <w:t>Space Weather Government</w:t>
        </w:r>
      </w:hyperlink>
      <w:r w:rsidRPr="00ED1F89">
        <w:rPr>
          <w:sz w:val="20"/>
          <w:szCs w:val="20"/>
        </w:rPr>
        <w:t>)</w:t>
      </w:r>
    </w:p>
    <w:p w14:paraId="73E2DAE0" w14:textId="77777777" w:rsidR="0013291B" w:rsidRPr="00ED1F89" w:rsidRDefault="0013291B" w:rsidP="0013291B">
      <w:pPr>
        <w:rPr>
          <w:sz w:val="20"/>
          <w:szCs w:val="20"/>
        </w:rPr>
      </w:pPr>
      <w:r w:rsidRPr="00ED1F89">
        <w:rPr>
          <w:sz w:val="20"/>
          <w:szCs w:val="20"/>
        </w:rPr>
        <w:t>This subject is especially well suited for Horizon Watch because it connects the ancient and the modern. Ancient cultures watched the Sun with awe. Today, we watch it because our navigation, power, aviation, satellite, banking, communications, agriculture, and emergency systems depend on technology that can be disrupted by space weather. NOAA lists GPS interference, satellite drag, electric-grid impacts, airline polar-route disruptions, radio blackout, spacecraft charging, and radiation exposure for astronauts and high-latitude aviation as real operational concerns. (</w:t>
      </w:r>
      <w:hyperlink r:id="rId6" w:tooltip="Space Weather FAQ (Frequently Asked Questions) | NOAA / NWS Space Weather Prediction Center" w:history="1">
        <w:r w:rsidRPr="00ED1F89">
          <w:rPr>
            <w:rStyle w:val="Hyperlink"/>
            <w:sz w:val="20"/>
            <w:szCs w:val="20"/>
          </w:rPr>
          <w:t>swpc.noaa.gov</w:t>
        </w:r>
      </w:hyperlink>
      <w:r w:rsidRPr="00ED1F89">
        <w:rPr>
          <w:sz w:val="20"/>
          <w:szCs w:val="20"/>
        </w:rPr>
        <w:t>) NOAA also reported that its SOLAR-1 satellite became operational in June 2026 as the first U.S. satellite designed exclusively for continuous operational space-weather observations, which shows how seriously the government treats this risk. (</w:t>
      </w:r>
      <w:hyperlink r:id="rId7" w:tooltip="NOAA's SOLAR-1 enters new era of space weather ..." w:history="1">
        <w:r w:rsidRPr="00ED1F89">
          <w:rPr>
            <w:rStyle w:val="Hyperlink"/>
            <w:sz w:val="20"/>
            <w:szCs w:val="20"/>
          </w:rPr>
          <w:t>NOAA</w:t>
        </w:r>
      </w:hyperlink>
      <w:r w:rsidRPr="00ED1F89">
        <w:rPr>
          <w:sz w:val="20"/>
          <w:szCs w:val="20"/>
        </w:rPr>
        <w:t>)</w:t>
      </w:r>
    </w:p>
    <w:p w14:paraId="60F3C3E0" w14:textId="77777777" w:rsidR="0013291B" w:rsidRPr="00ED1F89" w:rsidRDefault="0013291B" w:rsidP="0013291B">
      <w:pPr>
        <w:rPr>
          <w:sz w:val="20"/>
          <w:szCs w:val="20"/>
        </w:rPr>
      </w:pPr>
      <w:r w:rsidRPr="00ED1F89">
        <w:rPr>
          <w:sz w:val="20"/>
          <w:szCs w:val="20"/>
        </w:rPr>
        <w:t>For a captain, solar events are not abstract. They can affect GPS accuracy, satellite communications, HF radio, electronic navigation, offshore positioning, aviation routing, and emergency coordination. A modern bridge team can have multiple layers of electronics and still be vulnerable if too much confidence is placed in one technological chain.</w:t>
      </w:r>
    </w:p>
    <w:p w14:paraId="02AE5600" w14:textId="77777777" w:rsidR="0013291B" w:rsidRPr="00ED1F89" w:rsidRDefault="0013291B" w:rsidP="0013291B">
      <w:pPr>
        <w:rPr>
          <w:sz w:val="20"/>
          <w:szCs w:val="20"/>
        </w:rPr>
      </w:pPr>
      <w:r w:rsidRPr="00ED1F89">
        <w:rPr>
          <w:b/>
          <w:bCs/>
          <w:sz w:val="20"/>
          <w:szCs w:val="20"/>
        </w:rPr>
        <w:t>Worst-case scenario:</w:t>
      </w:r>
      <w:r w:rsidRPr="00ED1F89">
        <w:rPr>
          <w:sz w:val="20"/>
          <w:szCs w:val="20"/>
        </w:rPr>
        <w:t xml:space="preserve"> a Carrington-class solar storm hits Earth. NOAA explains that if the 1859 Carrington Event happened today, it could severely damage satellites, disable communications by telephone, radio, and TV, and cause electrical blackouts over whole continents, with repairs taking weeks or longer. (</w:t>
      </w:r>
      <w:hyperlink r:id="rId8" w:tooltip="What Was the Carrington Event? | NESDIS | National Environmental Satellite, Data, and Information Service" w:history="1">
        <w:r w:rsidRPr="00ED1F89">
          <w:rPr>
            <w:rStyle w:val="Hyperlink"/>
            <w:sz w:val="20"/>
            <w:szCs w:val="20"/>
          </w:rPr>
          <w:t>NESDIS</w:t>
        </w:r>
      </w:hyperlink>
      <w:r w:rsidRPr="00ED1F89">
        <w:rPr>
          <w:sz w:val="20"/>
          <w:szCs w:val="20"/>
        </w:rPr>
        <w:t>) The practical result would not be Hollywood-style apocalypse overnight, but a brutal systems failure: GPS degradation, satellite loss, grid instability, banking disruption, fuel logistics issues, aviation reroutes, maritime communication problems, and public confusion. Horizon Watch should treat solar preparedness as one of its signature subjects.</w:t>
      </w:r>
    </w:p>
    <w:p w14:paraId="7525E782" w14:textId="77777777" w:rsidR="0013291B" w:rsidRPr="00ED1F89" w:rsidRDefault="00000000" w:rsidP="0013291B">
      <w:pPr>
        <w:rPr>
          <w:sz w:val="20"/>
          <w:szCs w:val="20"/>
        </w:rPr>
      </w:pPr>
      <w:r w:rsidRPr="00ED1F89">
        <w:rPr>
          <w:sz w:val="20"/>
          <w:szCs w:val="20"/>
        </w:rPr>
        <w:pict w14:anchorId="3B75105C">
          <v:rect id="_x0000_i1027" style="width:0;height:1.5pt" o:hralign="center" o:hrstd="t" o:hr="t" fillcolor="#a0a0a0" stroked="f"/>
        </w:pict>
      </w:r>
    </w:p>
    <w:p w14:paraId="4A2F5832" w14:textId="77777777" w:rsidR="0013291B" w:rsidRPr="00ED1F89" w:rsidRDefault="0013291B" w:rsidP="0013291B">
      <w:pPr>
        <w:rPr>
          <w:b/>
          <w:bCs/>
          <w:sz w:val="20"/>
          <w:szCs w:val="20"/>
        </w:rPr>
      </w:pPr>
      <w:r w:rsidRPr="00ED1F89">
        <w:rPr>
          <w:b/>
          <w:bCs/>
          <w:sz w:val="20"/>
          <w:szCs w:val="20"/>
        </w:rPr>
        <w:t>3. AMOC — Atlantic Meridional Overturning Circulation</w:t>
      </w:r>
    </w:p>
    <w:p w14:paraId="15574B36" w14:textId="77777777" w:rsidR="0013291B" w:rsidRPr="00ED1F89" w:rsidRDefault="0013291B" w:rsidP="0013291B">
      <w:pPr>
        <w:rPr>
          <w:sz w:val="20"/>
          <w:szCs w:val="20"/>
        </w:rPr>
      </w:pPr>
      <w:r w:rsidRPr="00ED1F89">
        <w:rPr>
          <w:sz w:val="20"/>
          <w:szCs w:val="20"/>
        </w:rPr>
        <w:t xml:space="preserve">The </w:t>
      </w:r>
      <w:r w:rsidRPr="00ED1F89">
        <w:rPr>
          <w:b/>
          <w:bCs/>
          <w:sz w:val="20"/>
          <w:szCs w:val="20"/>
        </w:rPr>
        <w:t>Atlantic Meridional Overturning Circulation</w:t>
      </w:r>
      <w:r w:rsidRPr="00ED1F89">
        <w:rPr>
          <w:sz w:val="20"/>
          <w:szCs w:val="20"/>
        </w:rPr>
        <w:t>, or AMOC, is a major ocean circulation system that helps move warm surface water northward and colder, denser water southward at depth. It is connected to the Gulf Stream system, but it is broader than the Gulf Stream alone. AMOC influences regional temperatures, rainfall patterns, sea level along parts of the U.S. East Coast, fisheries, storm behavior, and agricultural stability.</w:t>
      </w:r>
    </w:p>
    <w:p w14:paraId="50ED1050" w14:textId="77777777" w:rsidR="0013291B" w:rsidRPr="00ED1F89" w:rsidRDefault="0013291B" w:rsidP="0013291B">
      <w:pPr>
        <w:rPr>
          <w:sz w:val="20"/>
          <w:szCs w:val="20"/>
        </w:rPr>
      </w:pPr>
      <w:r w:rsidRPr="00ED1F89">
        <w:rPr>
          <w:sz w:val="20"/>
          <w:szCs w:val="20"/>
        </w:rPr>
        <w:t>The science is unsettled on exact timing, but not on importance. The IPCC assessment cited by the European EPOC project says AMOC weakening through the 21st century is very likely, while an abrupt full collapse before 2100 is assessed as unlikely with medium confidence. Direct RAPID-array observations have shown a weakening trend since 2004, though the signal is still small compared with shorter-term variability. (</w:t>
      </w:r>
      <w:hyperlink r:id="rId9" w:tooltip="AMOC Collapse: Separating Plausible Risk from Extreme Scenarios | EPOC" w:history="1">
        <w:r w:rsidRPr="00ED1F89">
          <w:rPr>
            <w:rStyle w:val="Hyperlink"/>
            <w:sz w:val="20"/>
            <w:szCs w:val="20"/>
          </w:rPr>
          <w:t>EPOC project</w:t>
        </w:r>
      </w:hyperlink>
      <w:r w:rsidRPr="00ED1F89">
        <w:rPr>
          <w:sz w:val="20"/>
          <w:szCs w:val="20"/>
        </w:rPr>
        <w:t>) Other research is more aggressive: a 2023 Nature Communications paper estimated a possible AMOC transition sometime between 2037 and 2109 under its statistical assumptions. (</w:t>
      </w:r>
      <w:hyperlink r:id="rId10" w:tooltip="Warning of a forthcoming collapse of the Atlantic meridional overturning circulation | Nature Communications" w:history="1">
        <w:r w:rsidRPr="00ED1F89">
          <w:rPr>
            <w:rStyle w:val="Hyperlink"/>
            <w:sz w:val="20"/>
            <w:szCs w:val="20"/>
          </w:rPr>
          <w:t>Nature</w:t>
        </w:r>
      </w:hyperlink>
      <w:r w:rsidRPr="00ED1F89">
        <w:rPr>
          <w:sz w:val="20"/>
          <w:szCs w:val="20"/>
        </w:rPr>
        <w:t xml:space="preserve">) Carbon Brief’s </w:t>
      </w:r>
      <w:r w:rsidRPr="00ED1F89">
        <w:rPr>
          <w:sz w:val="20"/>
          <w:szCs w:val="20"/>
        </w:rPr>
        <w:lastRenderedPageBreak/>
        <w:t>2026 review shows the debate clearly: some newer studies find collapse unlikely this century, while others argue the risk may be underestimated, especially if model runs are extended beyond 2100. (</w:t>
      </w:r>
      <w:hyperlink r:id="rId11" w:tooltip="AMOC: Is global warming tipping key Atlantic ocean currents towards ‘collapse’?" w:history="1">
        <w:r w:rsidRPr="00ED1F89">
          <w:rPr>
            <w:rStyle w:val="Hyperlink"/>
            <w:sz w:val="20"/>
            <w:szCs w:val="20"/>
          </w:rPr>
          <w:t>Carbon Brief</w:t>
        </w:r>
      </w:hyperlink>
      <w:r w:rsidRPr="00ED1F89">
        <w:rPr>
          <w:sz w:val="20"/>
          <w:szCs w:val="20"/>
        </w:rPr>
        <w:t>)</w:t>
      </w:r>
    </w:p>
    <w:p w14:paraId="3197A1A8" w14:textId="77777777" w:rsidR="0013291B" w:rsidRPr="00ED1F89" w:rsidRDefault="0013291B" w:rsidP="0013291B">
      <w:pPr>
        <w:rPr>
          <w:sz w:val="20"/>
          <w:szCs w:val="20"/>
        </w:rPr>
      </w:pPr>
      <w:r w:rsidRPr="00ED1F89">
        <w:rPr>
          <w:sz w:val="20"/>
          <w:szCs w:val="20"/>
        </w:rPr>
        <w:t>This is exactly the kind of issue Horizon Watch should cover: high uncertainty, high consequence, strong scientific debate, and major public-policy implications. The goal is not to scream “collapse is coming.” The goal is to ask: what if the ocean circulation system weakens faster than expected? What happens to Europe, the tropics, Atlantic fisheries, Gulf Coast weather, insurance, agriculture, and migration patterns?</w:t>
      </w:r>
    </w:p>
    <w:p w14:paraId="212186A5" w14:textId="77777777" w:rsidR="0013291B" w:rsidRPr="00ED1F89" w:rsidRDefault="0013291B" w:rsidP="0013291B">
      <w:pPr>
        <w:rPr>
          <w:sz w:val="20"/>
          <w:szCs w:val="20"/>
        </w:rPr>
      </w:pPr>
      <w:r w:rsidRPr="00ED1F89">
        <w:rPr>
          <w:b/>
          <w:bCs/>
          <w:sz w:val="20"/>
          <w:szCs w:val="20"/>
        </w:rPr>
        <w:t>Worst-case scenario:</w:t>
      </w:r>
      <w:r w:rsidRPr="00ED1F89">
        <w:rPr>
          <w:sz w:val="20"/>
          <w:szCs w:val="20"/>
        </w:rPr>
        <w:t xml:space="preserve"> AMOC crosses a tipping threshold and undergoes a major weakening or collapse. The possible impacts include colder extremes in parts of Europe, drought shifts, disrupted monsoon systems, changes in tropical rainfall belts, sea-level effects along the U.S. East Coast, stress on fisheries, and major agricultural disruption. The IPCC summary cited by Carbon Brief says an AMOC collapse would very likely cause abrupt shifts in regional weather patterns and water cycles, including a southward shift of the tropical rain belt, weaker African and Asian monsoons, stronger Southern Hemisphere monsoons, and drying in Europe. (</w:t>
      </w:r>
      <w:hyperlink r:id="rId12" w:tooltip="AMOC: Is global warming tipping key Atlantic ocean currents towards ‘collapse’?" w:history="1">
        <w:r w:rsidRPr="00ED1F89">
          <w:rPr>
            <w:rStyle w:val="Hyperlink"/>
            <w:sz w:val="20"/>
            <w:szCs w:val="20"/>
          </w:rPr>
          <w:t>Carbon Brief</w:t>
        </w:r>
      </w:hyperlink>
      <w:r w:rsidRPr="00ED1F89">
        <w:rPr>
          <w:sz w:val="20"/>
          <w:szCs w:val="20"/>
        </w:rPr>
        <w:t>) From a Horizon Watch standpoint, the responsible position is: do not exaggerate certainty, but do not ignore a low-probability, high-impact risk.</w:t>
      </w:r>
    </w:p>
    <w:p w14:paraId="1E372EE7" w14:textId="77777777" w:rsidR="0013291B" w:rsidRPr="00ED1F89" w:rsidRDefault="00000000" w:rsidP="0013291B">
      <w:pPr>
        <w:rPr>
          <w:sz w:val="20"/>
          <w:szCs w:val="20"/>
        </w:rPr>
      </w:pPr>
      <w:r w:rsidRPr="00ED1F89">
        <w:rPr>
          <w:sz w:val="20"/>
          <w:szCs w:val="20"/>
        </w:rPr>
        <w:pict w14:anchorId="15017450">
          <v:rect id="_x0000_i1028" style="width:0;height:1.5pt" o:hralign="center" o:hrstd="t" o:hr="t" fillcolor="#a0a0a0" stroked="f"/>
        </w:pict>
      </w:r>
    </w:p>
    <w:p w14:paraId="460F07EB" w14:textId="77777777" w:rsidR="0013291B" w:rsidRPr="00ED1F89" w:rsidRDefault="0013291B" w:rsidP="0013291B">
      <w:pPr>
        <w:rPr>
          <w:b/>
          <w:bCs/>
          <w:sz w:val="20"/>
          <w:szCs w:val="20"/>
        </w:rPr>
      </w:pPr>
      <w:r w:rsidRPr="00ED1F89">
        <w:rPr>
          <w:b/>
          <w:bCs/>
          <w:sz w:val="20"/>
          <w:szCs w:val="20"/>
        </w:rPr>
        <w:t>4. WAIS — West Antarctic Ice Sheet</w:t>
      </w:r>
    </w:p>
    <w:p w14:paraId="49AF9E75" w14:textId="77777777" w:rsidR="0013291B" w:rsidRPr="00ED1F89" w:rsidRDefault="0013291B" w:rsidP="0013291B">
      <w:pPr>
        <w:rPr>
          <w:sz w:val="20"/>
          <w:szCs w:val="20"/>
        </w:rPr>
      </w:pPr>
      <w:r w:rsidRPr="00ED1F89">
        <w:rPr>
          <w:sz w:val="20"/>
          <w:szCs w:val="20"/>
        </w:rPr>
        <w:t xml:space="preserve">The </w:t>
      </w:r>
      <w:r w:rsidRPr="00ED1F89">
        <w:rPr>
          <w:b/>
          <w:bCs/>
          <w:sz w:val="20"/>
          <w:szCs w:val="20"/>
        </w:rPr>
        <w:t>West Antarctic Ice Sheet</w:t>
      </w:r>
      <w:r w:rsidRPr="00ED1F89">
        <w:rPr>
          <w:sz w:val="20"/>
          <w:szCs w:val="20"/>
        </w:rPr>
        <w:t>, or WAIS, is one of the most important long-term sea-level-rise risks on the planet. The major concern is that parts of West Antarctica sit on bedrock below sea level, making them vulnerable to warm ocean water undermining the ice from below. Thwaites Glacier is the best-known symbol of that risk, sometimes called the “Doomsday Glacier,” though that nickname can be more dramatic than useful.</w:t>
      </w:r>
    </w:p>
    <w:p w14:paraId="715ED168" w14:textId="77777777" w:rsidR="0013291B" w:rsidRPr="00ED1F89" w:rsidRDefault="0013291B" w:rsidP="0013291B">
      <w:pPr>
        <w:rPr>
          <w:sz w:val="20"/>
          <w:szCs w:val="20"/>
        </w:rPr>
      </w:pPr>
      <w:r w:rsidRPr="00ED1F89">
        <w:rPr>
          <w:sz w:val="20"/>
          <w:szCs w:val="20"/>
        </w:rPr>
        <w:t>The International Thwaites Glacier Collaboration reports that Thwaites’ retreat has accelerated considerably over the last 40 years. A full collapse is considered unlikely in the next few decades, but the glacier is expected to retreat further and faster through the 21st and 22nd centuries, and broader WAIS collapse over that timeframe cannot be ruled out. (</w:t>
      </w:r>
      <w:hyperlink r:id="rId13" w:tooltip="Thwaites Glacier | ITGC Thwaites Glacier" w:history="1">
        <w:r w:rsidRPr="00ED1F89">
          <w:rPr>
            <w:rStyle w:val="Hyperlink"/>
            <w:sz w:val="20"/>
            <w:szCs w:val="20"/>
          </w:rPr>
          <w:t>thwaitesglacier.org</w:t>
        </w:r>
      </w:hyperlink>
      <w:r w:rsidRPr="00ED1F89">
        <w:rPr>
          <w:sz w:val="20"/>
          <w:szCs w:val="20"/>
        </w:rPr>
        <w:t>) The National Snow and Ice Data Center says Thwaites is already losing more than 50 billion tons of ice per year, contributing roughly four percent of annual global sea-level rise, and that since the 1990s the amount of ice flowing out of the region has nearly doubled. (</w:t>
      </w:r>
      <w:hyperlink r:id="rId14" w:tooltip="International Thwaites Glacier Collaboration | National Snow and Ice Data Center" w:history="1">
        <w:r w:rsidRPr="00ED1F89">
          <w:rPr>
            <w:rStyle w:val="Hyperlink"/>
            <w:sz w:val="20"/>
            <w:szCs w:val="20"/>
          </w:rPr>
          <w:t>National Snow and Ice Data Center</w:t>
        </w:r>
      </w:hyperlink>
      <w:r w:rsidRPr="00ED1F89">
        <w:rPr>
          <w:sz w:val="20"/>
          <w:szCs w:val="20"/>
        </w:rPr>
        <w:t>) NASA’s GRACE and GRACE-FO observations show significant ice mass loss on the West Antarctic Ice Sheet from 2002 to 2025, especially around Pine Island and Thwaites glaciers, with warming ocean waters playing a key role. (</w:t>
      </w:r>
      <w:hyperlink r:id="rId15" w:tooltip="NASA SVS | Antarctic Ice Mass Loss 2002-2025" w:history="1">
        <w:r w:rsidRPr="00ED1F89">
          <w:rPr>
            <w:rStyle w:val="Hyperlink"/>
            <w:sz w:val="20"/>
            <w:szCs w:val="20"/>
          </w:rPr>
          <w:t>NASA Scientific Visualization Studio</w:t>
        </w:r>
      </w:hyperlink>
      <w:r w:rsidRPr="00ED1F89">
        <w:rPr>
          <w:sz w:val="20"/>
          <w:szCs w:val="20"/>
        </w:rPr>
        <w:t>)</w:t>
      </w:r>
    </w:p>
    <w:p w14:paraId="5D9479FE" w14:textId="77777777" w:rsidR="0013291B" w:rsidRPr="00ED1F89" w:rsidRDefault="0013291B" w:rsidP="0013291B">
      <w:pPr>
        <w:rPr>
          <w:sz w:val="20"/>
          <w:szCs w:val="20"/>
        </w:rPr>
      </w:pPr>
      <w:r w:rsidRPr="00ED1F89">
        <w:rPr>
          <w:sz w:val="20"/>
          <w:szCs w:val="20"/>
        </w:rPr>
        <w:t>For Horizon Watch, WAIS connects directly to coastal life, maritime infrastructure, ports, insurance, real estate, storm surge, evacuation planning, and long-range civilizational risk. Panama City Beach, the Gulf Coast, Florida, the Carolinas, the Bahamas, the Caribbean, and many major world ports all depend on assumptions about sea level, tides, storm surge, and coastal stability. Those assumptions are changing.</w:t>
      </w:r>
    </w:p>
    <w:p w14:paraId="2418DED1" w14:textId="77777777" w:rsidR="0013291B" w:rsidRPr="00ED1F89" w:rsidRDefault="0013291B" w:rsidP="0013291B">
      <w:pPr>
        <w:rPr>
          <w:sz w:val="20"/>
          <w:szCs w:val="20"/>
        </w:rPr>
      </w:pPr>
      <w:r w:rsidRPr="00ED1F89">
        <w:rPr>
          <w:b/>
          <w:bCs/>
          <w:sz w:val="20"/>
          <w:szCs w:val="20"/>
        </w:rPr>
        <w:t>Worst-case scenario:</w:t>
      </w:r>
      <w:r w:rsidRPr="00ED1F89">
        <w:rPr>
          <w:sz w:val="20"/>
          <w:szCs w:val="20"/>
        </w:rPr>
        <w:t xml:space="preserve"> WAIS enters a self-sustaining retreat that locks in multi-foot to multi-meter sea-level rise over the coming centuries. This would not look like a sudden movie-style wall of water. It would look like higher baseline water, more frequent tidal flooding, worse storm surge, saltwater intrusion, disappearing barrier islands, collapsing coastal insurance markets, failing septic and drainage systems, forced infrastructure retreat, and eventually the loss or relocation of vulnerable coastal communities. NOAA’s sea-level tools already emphasize “what if” scenario planning, and NOAA notes that by 2050 relative sea-level-</w:t>
      </w:r>
      <w:r w:rsidRPr="00ED1F89">
        <w:rPr>
          <w:sz w:val="20"/>
          <w:szCs w:val="20"/>
        </w:rPr>
        <w:lastRenderedPageBreak/>
        <w:t>rise projections range around 0.55–0.65 meters along the Gulf Coast under its 2022 scenarios. (</w:t>
      </w:r>
      <w:hyperlink r:id="rId16" w:tooltip="Sea Level Rise and Coastal Flooding Impacts" w:history="1">
        <w:r w:rsidRPr="00ED1F89">
          <w:rPr>
            <w:rStyle w:val="Hyperlink"/>
            <w:sz w:val="20"/>
            <w:szCs w:val="20"/>
          </w:rPr>
          <w:t>NOAA Coastal Management</w:t>
        </w:r>
      </w:hyperlink>
      <w:r w:rsidRPr="00ED1F89">
        <w:rPr>
          <w:sz w:val="20"/>
          <w:szCs w:val="20"/>
        </w:rPr>
        <w:t>)</w:t>
      </w:r>
    </w:p>
    <w:p w14:paraId="6928ADB9" w14:textId="77777777" w:rsidR="0013291B" w:rsidRPr="00ED1F89" w:rsidRDefault="00000000" w:rsidP="0013291B">
      <w:pPr>
        <w:rPr>
          <w:sz w:val="20"/>
          <w:szCs w:val="20"/>
        </w:rPr>
      </w:pPr>
      <w:r w:rsidRPr="00ED1F89">
        <w:rPr>
          <w:sz w:val="20"/>
          <w:szCs w:val="20"/>
        </w:rPr>
        <w:pict w14:anchorId="73D7E133">
          <v:rect id="_x0000_i1029" style="width:0;height:1.5pt" o:hralign="center" o:hrstd="t" o:hr="t" fillcolor="#a0a0a0" stroked="f"/>
        </w:pict>
      </w:r>
    </w:p>
    <w:p w14:paraId="589D7C14" w14:textId="77777777" w:rsidR="0013291B" w:rsidRPr="00ED1F89" w:rsidRDefault="0013291B" w:rsidP="0013291B">
      <w:pPr>
        <w:rPr>
          <w:b/>
          <w:bCs/>
          <w:sz w:val="20"/>
          <w:szCs w:val="20"/>
        </w:rPr>
      </w:pPr>
      <w:r w:rsidRPr="00ED1F89">
        <w:rPr>
          <w:b/>
          <w:bCs/>
          <w:sz w:val="20"/>
          <w:szCs w:val="20"/>
        </w:rPr>
        <w:t>5. Polar Magnetic Drift</w:t>
      </w:r>
    </w:p>
    <w:p w14:paraId="2CADFE5B" w14:textId="77777777" w:rsidR="0013291B" w:rsidRPr="00ED1F89" w:rsidRDefault="0013291B" w:rsidP="0013291B">
      <w:pPr>
        <w:rPr>
          <w:sz w:val="20"/>
          <w:szCs w:val="20"/>
        </w:rPr>
      </w:pPr>
      <w:r w:rsidRPr="00ED1F89">
        <w:rPr>
          <w:sz w:val="20"/>
          <w:szCs w:val="20"/>
        </w:rPr>
        <w:t xml:space="preserve">The magnetic North Pole is not fixed. It moves because Earth’s magnetic field is generated by dynamic motion in the planet’s outer core. NOAA’s World Magnetic Model is the standard model used for navigation, heading, and attitude reference systems, and it is updated every five years to account for changes in Earth’s magnetic field. The current WMM2025 model was released on December 17, </w:t>
      </w:r>
      <w:proofErr w:type="gramStart"/>
      <w:r w:rsidRPr="00ED1F89">
        <w:rPr>
          <w:sz w:val="20"/>
          <w:szCs w:val="20"/>
        </w:rPr>
        <w:t>2024</w:t>
      </w:r>
      <w:proofErr w:type="gramEnd"/>
      <w:r w:rsidRPr="00ED1F89">
        <w:rPr>
          <w:sz w:val="20"/>
          <w:szCs w:val="20"/>
        </w:rPr>
        <w:t xml:space="preserve"> and remains valid until late 2029. (</w:t>
      </w:r>
      <w:hyperlink r:id="rId17" w:tooltip="World Magnetic Model (WMM) | National Centers for Environmental Information (NCEI)" w:history="1">
        <w:r w:rsidRPr="00ED1F89">
          <w:rPr>
            <w:rStyle w:val="Hyperlink"/>
            <w:sz w:val="20"/>
            <w:szCs w:val="20"/>
          </w:rPr>
          <w:t>NCEI</w:t>
        </w:r>
      </w:hyperlink>
      <w:r w:rsidRPr="00ED1F89">
        <w:rPr>
          <w:sz w:val="20"/>
          <w:szCs w:val="20"/>
        </w:rPr>
        <w:t>) NOAA also notes that the drifting of Earth’s magnetic north pole toward Siberia has been occurring continuously for decades due to unpredictable movement of electrically charged molten metals in Earth’s outer core. (</w:t>
      </w:r>
      <w:hyperlink r:id="rId18" w:tooltip="2025 WMM Annual Report is Released | News" w:history="1">
        <w:r w:rsidRPr="00ED1F89">
          <w:rPr>
            <w:rStyle w:val="Hyperlink"/>
            <w:sz w:val="20"/>
            <w:szCs w:val="20"/>
          </w:rPr>
          <w:t>NCEI</w:t>
        </w:r>
      </w:hyperlink>
      <w:r w:rsidRPr="00ED1F89">
        <w:rPr>
          <w:sz w:val="20"/>
          <w:szCs w:val="20"/>
        </w:rPr>
        <w:t>)</w:t>
      </w:r>
    </w:p>
    <w:p w14:paraId="2A03C2E6" w14:textId="77777777" w:rsidR="0013291B" w:rsidRPr="00ED1F89" w:rsidRDefault="0013291B" w:rsidP="0013291B">
      <w:pPr>
        <w:rPr>
          <w:sz w:val="20"/>
          <w:szCs w:val="20"/>
        </w:rPr>
      </w:pPr>
      <w:r w:rsidRPr="00ED1F89">
        <w:rPr>
          <w:sz w:val="20"/>
          <w:szCs w:val="20"/>
        </w:rPr>
        <w:t>This topic is tailor-made for Horizon Watch because it is real, measurable, mysterious, and often misunderstood. Magnetic pole drift does not mean an instant pole flip is happening tomorrow. It does mean navigation models need regular updating. It matters for ships, aircraft, submarines, smartphones, drilling, surveying, military systems, polar operations, and any system that references Earth’s magnetic field.</w:t>
      </w:r>
    </w:p>
    <w:p w14:paraId="6D58C339" w14:textId="77777777" w:rsidR="0013291B" w:rsidRPr="00ED1F89" w:rsidRDefault="0013291B" w:rsidP="0013291B">
      <w:pPr>
        <w:rPr>
          <w:sz w:val="20"/>
          <w:szCs w:val="20"/>
        </w:rPr>
      </w:pPr>
      <w:r w:rsidRPr="00ED1F89">
        <w:rPr>
          <w:sz w:val="20"/>
          <w:szCs w:val="20"/>
        </w:rPr>
        <w:t xml:space="preserve">For a maritime audience, this is easy to explain: true north and magnetic north are not the same thing. Variation changes over time. Good navigators respect that. Bad navigators ignore it. Modern electronics may hide the problem from casual users, but the correction still </w:t>
      </w:r>
      <w:proofErr w:type="gramStart"/>
      <w:r w:rsidRPr="00ED1F89">
        <w:rPr>
          <w:sz w:val="20"/>
          <w:szCs w:val="20"/>
        </w:rPr>
        <w:t>has to</w:t>
      </w:r>
      <w:proofErr w:type="gramEnd"/>
      <w:r w:rsidRPr="00ED1F89">
        <w:rPr>
          <w:sz w:val="20"/>
          <w:szCs w:val="20"/>
        </w:rPr>
        <w:t xml:space="preserve"> exist somewhere inside the system.</w:t>
      </w:r>
    </w:p>
    <w:p w14:paraId="01466177" w14:textId="77777777" w:rsidR="0013291B" w:rsidRPr="00ED1F89" w:rsidRDefault="0013291B" w:rsidP="0013291B">
      <w:pPr>
        <w:rPr>
          <w:sz w:val="20"/>
          <w:szCs w:val="20"/>
        </w:rPr>
      </w:pPr>
      <w:r w:rsidRPr="00ED1F89">
        <w:rPr>
          <w:b/>
          <w:bCs/>
          <w:sz w:val="20"/>
          <w:szCs w:val="20"/>
        </w:rPr>
        <w:t>Worst-case scenario:</w:t>
      </w:r>
      <w:r w:rsidRPr="00ED1F89">
        <w:rPr>
          <w:sz w:val="20"/>
          <w:szCs w:val="20"/>
        </w:rPr>
        <w:t xml:space="preserve"> the worst credible near-term case is not a sudden magnetic reversal. The more practical risk is degraded reliability in magnetic navigation, increased compass error in high latitudes, expansion or shifting of magnetic blackout zones near the poles, more complicated aviation and maritime operations in polar regions, and greater vulnerability when magnetic-field changes combine with solar storms. NOAA’s WMM page also notes polar blackout zones where Earth’s magnetic field can be unusable for navigation, which is an important operational detail for high-latitude planning. (</w:t>
      </w:r>
      <w:hyperlink r:id="rId19" w:tooltip="World Magnetic Model (WMM) | National Centers for Environmental Information (NCEI)" w:history="1">
        <w:r w:rsidRPr="00ED1F89">
          <w:rPr>
            <w:rStyle w:val="Hyperlink"/>
            <w:sz w:val="20"/>
            <w:szCs w:val="20"/>
          </w:rPr>
          <w:t>NCEI</w:t>
        </w:r>
      </w:hyperlink>
      <w:r w:rsidRPr="00ED1F89">
        <w:rPr>
          <w:sz w:val="20"/>
          <w:szCs w:val="20"/>
        </w:rPr>
        <w:t>) Horizon Watch should treat magnetic drift as a practical navigation story first and a deep-Earth mystery second.</w:t>
      </w:r>
    </w:p>
    <w:p w14:paraId="0415BA2C" w14:textId="77777777" w:rsidR="0013291B" w:rsidRPr="00ED1F89" w:rsidRDefault="00000000" w:rsidP="0013291B">
      <w:pPr>
        <w:rPr>
          <w:sz w:val="20"/>
          <w:szCs w:val="20"/>
        </w:rPr>
      </w:pPr>
      <w:r w:rsidRPr="00ED1F89">
        <w:rPr>
          <w:sz w:val="20"/>
          <w:szCs w:val="20"/>
        </w:rPr>
        <w:pict w14:anchorId="3BE74DF3">
          <v:rect id="_x0000_i1030" style="width:0;height:1.5pt" o:hralign="center" o:hrstd="t" o:hr="t" fillcolor="#a0a0a0" stroked="f"/>
        </w:pict>
      </w:r>
    </w:p>
    <w:p w14:paraId="5093D658" w14:textId="77777777" w:rsidR="0013291B" w:rsidRPr="00ED1F89" w:rsidRDefault="0013291B" w:rsidP="0013291B">
      <w:pPr>
        <w:rPr>
          <w:b/>
          <w:bCs/>
          <w:sz w:val="20"/>
          <w:szCs w:val="20"/>
        </w:rPr>
      </w:pPr>
      <w:r w:rsidRPr="00ED1F89">
        <w:rPr>
          <w:b/>
          <w:bCs/>
          <w:sz w:val="20"/>
          <w:szCs w:val="20"/>
        </w:rPr>
        <w:t>6. Natural Cyclical Earth Changes, Solar Phenomena, and the Climate Narrative</w:t>
      </w:r>
    </w:p>
    <w:p w14:paraId="5292C152" w14:textId="77777777" w:rsidR="0013291B" w:rsidRPr="00ED1F89" w:rsidRDefault="0013291B" w:rsidP="0013291B">
      <w:pPr>
        <w:rPr>
          <w:sz w:val="20"/>
          <w:szCs w:val="20"/>
        </w:rPr>
      </w:pPr>
      <w:r w:rsidRPr="00ED1F89">
        <w:rPr>
          <w:sz w:val="20"/>
          <w:szCs w:val="20"/>
        </w:rPr>
        <w:t>This is where Horizon Watch needs to be sharp, fair, and fearless.</w:t>
      </w:r>
    </w:p>
    <w:p w14:paraId="630F4F16" w14:textId="77777777" w:rsidR="0013291B" w:rsidRPr="00ED1F89" w:rsidRDefault="0013291B" w:rsidP="0013291B">
      <w:pPr>
        <w:rPr>
          <w:sz w:val="20"/>
          <w:szCs w:val="20"/>
        </w:rPr>
      </w:pPr>
      <w:r w:rsidRPr="00ED1F89">
        <w:rPr>
          <w:sz w:val="20"/>
          <w:szCs w:val="20"/>
        </w:rPr>
        <w:t>Earth has always changed. Natural cycles are real. Solar variability is real. Volcanic forcing is real. Milankovitch cycles are real. Ocean cycles are real. ENSO, AMO-like variability, PDO-like variability, and other coupled ocean-atmosphere patterns can change weather and regional climate. Ancient shorelines, fossil beds, ice cores, sediment cores, tree rings, volcanic ash layers, and historical accounts all show that Earth is dynamic.</w:t>
      </w:r>
    </w:p>
    <w:p w14:paraId="5D59F933" w14:textId="77777777" w:rsidR="0013291B" w:rsidRPr="00ED1F89" w:rsidRDefault="0013291B" w:rsidP="0013291B">
      <w:pPr>
        <w:rPr>
          <w:sz w:val="20"/>
          <w:szCs w:val="20"/>
        </w:rPr>
      </w:pPr>
      <w:r w:rsidRPr="00ED1F89">
        <w:rPr>
          <w:sz w:val="20"/>
          <w:szCs w:val="20"/>
        </w:rPr>
        <w:t>But it is also true that the current mainstream scientific position is that recent global warming cannot be explained by natural factors alone. The IPCC states that human activities, principally greenhouse-gas emissions, have unequivocally caused global warming, with global surface temperature reaching 1.1°C above 1850–1900 levels in 2011–2020. (</w:t>
      </w:r>
      <w:hyperlink r:id="rId20" w:tooltip="Summary for Policymakers Headline Statements" w:history="1">
        <w:r w:rsidRPr="00ED1F89">
          <w:rPr>
            <w:rStyle w:val="Hyperlink"/>
            <w:sz w:val="20"/>
            <w:szCs w:val="20"/>
          </w:rPr>
          <w:t>IPCC</w:t>
        </w:r>
      </w:hyperlink>
      <w:r w:rsidRPr="00ED1F89">
        <w:rPr>
          <w:sz w:val="20"/>
          <w:szCs w:val="20"/>
        </w:rPr>
        <w:t>) NASA states that current warming cannot be explained by solar irradiance and that orbital Milankovitch cycles would currently favor long-term cooling rather than the observed warming. (</w:t>
      </w:r>
      <w:hyperlink r:id="rId21" w:tooltip="The Causes of Climate Change" w:history="1">
        <w:r w:rsidRPr="00ED1F89">
          <w:rPr>
            <w:rStyle w:val="Hyperlink"/>
            <w:sz w:val="20"/>
            <w:szCs w:val="20"/>
          </w:rPr>
          <w:t>NASA Science</w:t>
        </w:r>
      </w:hyperlink>
      <w:r w:rsidRPr="00ED1F89">
        <w:rPr>
          <w:sz w:val="20"/>
          <w:szCs w:val="20"/>
        </w:rPr>
        <w:t>)</w:t>
      </w:r>
    </w:p>
    <w:p w14:paraId="5FB9FD2E" w14:textId="77777777" w:rsidR="0013291B" w:rsidRPr="00ED1F89" w:rsidRDefault="0013291B" w:rsidP="0013291B">
      <w:pPr>
        <w:rPr>
          <w:sz w:val="20"/>
          <w:szCs w:val="20"/>
        </w:rPr>
      </w:pPr>
      <w:r w:rsidRPr="00ED1F89">
        <w:rPr>
          <w:sz w:val="20"/>
          <w:szCs w:val="20"/>
        </w:rPr>
        <w:lastRenderedPageBreak/>
        <w:t xml:space="preserve">That does not mean every climate policy is wise. It does not mean every media headline is honest. It does not mean every “green” investment is clean. It does not mean the public should blindly trust politicians, NGOs, corporations, carbon-credit brokers, government agencies, or oil companies. It means Horizon Watch should separate the </w:t>
      </w:r>
      <w:r w:rsidRPr="00ED1F89">
        <w:rPr>
          <w:b/>
          <w:bCs/>
          <w:sz w:val="20"/>
          <w:szCs w:val="20"/>
        </w:rPr>
        <w:t>physical evidence</w:t>
      </w:r>
      <w:r w:rsidRPr="00ED1F89">
        <w:rPr>
          <w:sz w:val="20"/>
          <w:szCs w:val="20"/>
        </w:rPr>
        <w:t xml:space="preserve"> from the </w:t>
      </w:r>
      <w:r w:rsidRPr="00ED1F89">
        <w:rPr>
          <w:b/>
          <w:bCs/>
          <w:sz w:val="20"/>
          <w:szCs w:val="20"/>
        </w:rPr>
        <w:t>political and financial machinery built around the evidence</w:t>
      </w:r>
      <w:r w:rsidRPr="00ED1F89">
        <w:rPr>
          <w:sz w:val="20"/>
          <w:szCs w:val="20"/>
        </w:rPr>
        <w:t>.</w:t>
      </w:r>
    </w:p>
    <w:p w14:paraId="7D32BDE0" w14:textId="77777777" w:rsidR="0013291B" w:rsidRPr="00ED1F89" w:rsidRDefault="0013291B" w:rsidP="0013291B">
      <w:pPr>
        <w:rPr>
          <w:sz w:val="20"/>
          <w:szCs w:val="20"/>
        </w:rPr>
      </w:pPr>
      <w:r w:rsidRPr="00ED1F89">
        <w:rPr>
          <w:sz w:val="20"/>
          <w:szCs w:val="20"/>
        </w:rPr>
        <w:t xml:space="preserve">There are major financial incentives on all sides. Climate finance is now a massive global system: Climate Policy Initiative reported total climate-finance flows of about </w:t>
      </w:r>
      <w:r w:rsidRPr="00ED1F89">
        <w:rPr>
          <w:b/>
          <w:bCs/>
          <w:sz w:val="20"/>
          <w:szCs w:val="20"/>
        </w:rPr>
        <w:t>$2 trillion in 2024</w:t>
      </w:r>
      <w:r w:rsidRPr="00ED1F89">
        <w:rPr>
          <w:sz w:val="20"/>
          <w:szCs w:val="20"/>
        </w:rPr>
        <w:t>, while estimating that far more annual finance would be needed to avoid the worst impacts of climate change. (</w:t>
      </w:r>
      <w:hyperlink r:id="rId22" w:tooltip="Global Landscape of Climate Finance Data Dashboard - CPI" w:history="1">
        <w:r w:rsidRPr="00ED1F89">
          <w:rPr>
            <w:rStyle w:val="Hyperlink"/>
            <w:sz w:val="20"/>
            <w:szCs w:val="20"/>
          </w:rPr>
          <w:t>CPI</w:t>
        </w:r>
      </w:hyperlink>
      <w:r w:rsidRPr="00ED1F89">
        <w:rPr>
          <w:sz w:val="20"/>
          <w:szCs w:val="20"/>
        </w:rPr>
        <w:t xml:space="preserve">) The World Bank reports that carbon pricing now covers nearly 30% of global greenhouse-gas emissions and mobilized more than </w:t>
      </w:r>
      <w:r w:rsidRPr="00ED1F89">
        <w:rPr>
          <w:b/>
          <w:bCs/>
          <w:sz w:val="20"/>
          <w:szCs w:val="20"/>
        </w:rPr>
        <w:t>$107 billion</w:t>
      </w:r>
      <w:r w:rsidRPr="00ED1F89">
        <w:rPr>
          <w:sz w:val="20"/>
          <w:szCs w:val="20"/>
        </w:rPr>
        <w:t xml:space="preserve"> for public budgets in 2025. (</w:t>
      </w:r>
      <w:hyperlink r:id="rId23" w:tooltip="State and Trends of Carbon Pricing 2026" w:history="1">
        <w:r w:rsidRPr="00ED1F89">
          <w:rPr>
            <w:rStyle w:val="Hyperlink"/>
            <w:sz w:val="20"/>
            <w:szCs w:val="20"/>
          </w:rPr>
          <w:t>World Bank</w:t>
        </w:r>
      </w:hyperlink>
      <w:r w:rsidRPr="00ED1F89">
        <w:rPr>
          <w:sz w:val="20"/>
          <w:szCs w:val="20"/>
        </w:rPr>
        <w:t xml:space="preserve">) OECD data says developed countries provided and mobilized </w:t>
      </w:r>
      <w:r w:rsidRPr="00ED1F89">
        <w:rPr>
          <w:b/>
          <w:bCs/>
          <w:sz w:val="20"/>
          <w:szCs w:val="20"/>
        </w:rPr>
        <w:t>$136.7 billion</w:t>
      </w:r>
      <w:r w:rsidRPr="00ED1F89">
        <w:rPr>
          <w:sz w:val="20"/>
          <w:szCs w:val="20"/>
        </w:rPr>
        <w:t xml:space="preserve"> in climate finance for developing countries in 2024. (</w:t>
      </w:r>
      <w:hyperlink r:id="rId24" w:tooltip="Developed countries exceed USD 100 billion climate finance goal for third consecutive year" w:history="1">
        <w:r w:rsidRPr="00ED1F89">
          <w:rPr>
            <w:rStyle w:val="Hyperlink"/>
            <w:sz w:val="20"/>
            <w:szCs w:val="20"/>
          </w:rPr>
          <w:t>OECD</w:t>
        </w:r>
      </w:hyperlink>
      <w:r w:rsidRPr="00ED1F89">
        <w:rPr>
          <w:sz w:val="20"/>
          <w:szCs w:val="20"/>
        </w:rPr>
        <w:t xml:space="preserve">) On the other side, the IMF estimates explicit fossil-fuel subsidies at </w:t>
      </w:r>
      <w:r w:rsidRPr="00ED1F89">
        <w:rPr>
          <w:b/>
          <w:bCs/>
          <w:sz w:val="20"/>
          <w:szCs w:val="20"/>
        </w:rPr>
        <w:t>$0.73 trillion</w:t>
      </w:r>
      <w:r w:rsidRPr="00ED1F89">
        <w:rPr>
          <w:sz w:val="20"/>
          <w:szCs w:val="20"/>
        </w:rPr>
        <w:t xml:space="preserve"> in 2024, with much larger implicit subsidies when environmental and social costs are counted. (</w:t>
      </w:r>
      <w:hyperlink r:id="rId25" w:tooltip="Fossil Fuel Subsidies" w:history="1">
        <w:r w:rsidRPr="00ED1F89">
          <w:rPr>
            <w:rStyle w:val="Hyperlink"/>
            <w:sz w:val="20"/>
            <w:szCs w:val="20"/>
          </w:rPr>
          <w:t>IMF</w:t>
        </w:r>
      </w:hyperlink>
      <w:r w:rsidRPr="00ED1F89">
        <w:rPr>
          <w:sz w:val="20"/>
          <w:szCs w:val="20"/>
        </w:rPr>
        <w:t>)</w:t>
      </w:r>
    </w:p>
    <w:p w14:paraId="1EAB375C" w14:textId="77777777" w:rsidR="0013291B" w:rsidRPr="00ED1F89" w:rsidRDefault="0013291B" w:rsidP="0013291B">
      <w:pPr>
        <w:rPr>
          <w:sz w:val="20"/>
          <w:szCs w:val="20"/>
        </w:rPr>
      </w:pPr>
      <w:r w:rsidRPr="00ED1F89">
        <w:rPr>
          <w:sz w:val="20"/>
          <w:szCs w:val="20"/>
        </w:rPr>
        <w:t>So the honest Horizon Watch position should be this: climate is real, natural cycles are real, human influence is real, uncertainty is real, corruption is possible, financial incentives are enormous, and propaganda can exist in every camp. The job is not to join a tribe. The job is to follow the evidence and ask better questions.</w:t>
      </w:r>
    </w:p>
    <w:p w14:paraId="29777700" w14:textId="77777777" w:rsidR="0013291B" w:rsidRPr="00ED1F89" w:rsidRDefault="0013291B" w:rsidP="0013291B">
      <w:pPr>
        <w:rPr>
          <w:sz w:val="20"/>
          <w:szCs w:val="20"/>
        </w:rPr>
      </w:pPr>
      <w:r w:rsidRPr="00ED1F89">
        <w:rPr>
          <w:b/>
          <w:bCs/>
          <w:sz w:val="20"/>
          <w:szCs w:val="20"/>
        </w:rPr>
        <w:t>Worst-case scenario:</w:t>
      </w:r>
      <w:r w:rsidRPr="00ED1F89">
        <w:rPr>
          <w:sz w:val="20"/>
          <w:szCs w:val="20"/>
        </w:rPr>
        <w:t xml:space="preserve"> the worst case is not merely warming, cooling, solar disruption, or policy failure. The worst case is public trust collapsing because people are forced to choose between two dishonest extremes: “nothing is happening” versus “obey every policy demand without question.” Horizon Watch should reject both. A serious </w:t>
      </w:r>
      <w:proofErr w:type="spellStart"/>
      <w:r w:rsidRPr="00ED1F89">
        <w:rPr>
          <w:sz w:val="20"/>
          <w:szCs w:val="20"/>
        </w:rPr>
        <w:t>watchstander</w:t>
      </w:r>
      <w:proofErr w:type="spellEnd"/>
      <w:r w:rsidRPr="00ED1F89">
        <w:rPr>
          <w:sz w:val="20"/>
          <w:szCs w:val="20"/>
        </w:rPr>
        <w:t xml:space="preserve"> does not ignore smoke in the engine room, and he also does not flood the whole vessel without confirming the source.</w:t>
      </w:r>
    </w:p>
    <w:p w14:paraId="671D05C7" w14:textId="77777777" w:rsidR="0013291B" w:rsidRPr="00ED1F89" w:rsidRDefault="00000000" w:rsidP="0013291B">
      <w:pPr>
        <w:rPr>
          <w:sz w:val="20"/>
          <w:szCs w:val="20"/>
        </w:rPr>
      </w:pPr>
      <w:r w:rsidRPr="00ED1F89">
        <w:rPr>
          <w:sz w:val="20"/>
          <w:szCs w:val="20"/>
        </w:rPr>
        <w:pict w14:anchorId="33A636D3">
          <v:rect id="_x0000_i1031" style="width:0;height:1.5pt" o:hralign="center" o:hrstd="t" o:hr="t" fillcolor="#a0a0a0" stroked="f"/>
        </w:pict>
      </w:r>
    </w:p>
    <w:p w14:paraId="5F7387C5" w14:textId="77777777" w:rsidR="0013291B" w:rsidRPr="00ED1F89" w:rsidRDefault="0013291B" w:rsidP="0013291B">
      <w:pPr>
        <w:rPr>
          <w:b/>
          <w:bCs/>
          <w:sz w:val="20"/>
          <w:szCs w:val="20"/>
        </w:rPr>
      </w:pPr>
      <w:r w:rsidRPr="00ED1F89">
        <w:rPr>
          <w:b/>
          <w:bCs/>
          <w:sz w:val="20"/>
          <w:szCs w:val="20"/>
        </w:rPr>
        <w:t>Horizon Watch Adventure and Expedition Section</w:t>
      </w:r>
    </w:p>
    <w:p w14:paraId="6E2C80A8" w14:textId="77777777" w:rsidR="0013291B" w:rsidRPr="00ED1F89" w:rsidRDefault="0013291B" w:rsidP="0013291B">
      <w:pPr>
        <w:rPr>
          <w:sz w:val="20"/>
          <w:szCs w:val="20"/>
        </w:rPr>
      </w:pPr>
      <w:r w:rsidRPr="00ED1F89">
        <w:rPr>
          <w:sz w:val="20"/>
          <w:szCs w:val="20"/>
        </w:rPr>
        <w:t>The heavier geophysical subjects need balance. People will stay engaged longer if Horizon Watch also celebrates the ocean, adventure, boats, fishing, exploration, and practical seamanship. This gives the brand life. It also makes the serious topics easier to absorb.</w:t>
      </w:r>
    </w:p>
    <w:p w14:paraId="3C50A30B" w14:textId="77777777" w:rsidR="0013291B" w:rsidRPr="00ED1F89" w:rsidRDefault="0013291B" w:rsidP="0013291B">
      <w:pPr>
        <w:rPr>
          <w:b/>
          <w:bCs/>
          <w:sz w:val="20"/>
          <w:szCs w:val="20"/>
        </w:rPr>
      </w:pPr>
      <w:r w:rsidRPr="00ED1F89">
        <w:rPr>
          <w:b/>
          <w:bCs/>
          <w:sz w:val="20"/>
          <w:szCs w:val="20"/>
        </w:rPr>
        <w:t>7. Adventure</w:t>
      </w:r>
    </w:p>
    <w:p w14:paraId="7C8BBA21" w14:textId="77777777" w:rsidR="0013291B" w:rsidRPr="00ED1F89" w:rsidRDefault="0013291B" w:rsidP="0013291B">
      <w:pPr>
        <w:rPr>
          <w:sz w:val="20"/>
          <w:szCs w:val="20"/>
        </w:rPr>
      </w:pPr>
      <w:r w:rsidRPr="00ED1F89">
        <w:rPr>
          <w:sz w:val="20"/>
          <w:szCs w:val="20"/>
        </w:rPr>
        <w:t>The Adventure section should be the lighter side of Horizon Watch: offshore runs, marina visits, sportfishing docks, tournament coverage, sailing stories, expedition vessels, unusual routes, coastal communities, gear testing, weather windows, and interviews with people who live close to the water.</w:t>
      </w:r>
    </w:p>
    <w:p w14:paraId="17707BBA" w14:textId="77777777" w:rsidR="0013291B" w:rsidRPr="00ED1F89" w:rsidRDefault="0013291B" w:rsidP="0013291B">
      <w:pPr>
        <w:rPr>
          <w:sz w:val="20"/>
          <w:szCs w:val="20"/>
        </w:rPr>
      </w:pPr>
      <w:r w:rsidRPr="00ED1F89">
        <w:rPr>
          <w:sz w:val="20"/>
          <w:szCs w:val="20"/>
        </w:rPr>
        <w:t>This section should not feel like filler. It should carry the same Horizon Watch DNA: curiosity, preparedness, seamanship, and respect for nature. Adventure is where people experience the planet directly. You can talk about sea conditions, weather, fish migration, water temperature, electronics, safety, storms, boat handling, and coastal culture without sounding like a classroom lecture.</w:t>
      </w:r>
    </w:p>
    <w:p w14:paraId="51474C3C" w14:textId="77777777" w:rsidR="0013291B" w:rsidRPr="00ED1F89" w:rsidRDefault="0013291B" w:rsidP="0013291B">
      <w:pPr>
        <w:rPr>
          <w:sz w:val="20"/>
          <w:szCs w:val="20"/>
        </w:rPr>
      </w:pPr>
      <w:r w:rsidRPr="00ED1F89">
        <w:rPr>
          <w:sz w:val="20"/>
          <w:szCs w:val="20"/>
        </w:rPr>
        <w:t>Suggested recurring segments:</w:t>
      </w:r>
    </w:p>
    <w:p w14:paraId="37448672" w14:textId="77777777" w:rsidR="0013291B" w:rsidRPr="00ED1F89" w:rsidRDefault="0013291B" w:rsidP="0013291B">
      <w:pPr>
        <w:rPr>
          <w:sz w:val="20"/>
          <w:szCs w:val="20"/>
        </w:rPr>
      </w:pPr>
      <w:r w:rsidRPr="00ED1F89">
        <w:rPr>
          <w:b/>
          <w:bCs/>
          <w:sz w:val="20"/>
          <w:szCs w:val="20"/>
        </w:rPr>
        <w:t>Dockside Watch:</w:t>
      </w:r>
      <w:r w:rsidRPr="00ED1F89">
        <w:rPr>
          <w:sz w:val="20"/>
          <w:szCs w:val="20"/>
        </w:rPr>
        <w:t xml:space="preserve"> short updates from marinas, tournaments, boatyards, and waterfront businesses.</w:t>
      </w:r>
      <w:r w:rsidRPr="00ED1F89">
        <w:rPr>
          <w:sz w:val="20"/>
          <w:szCs w:val="20"/>
        </w:rPr>
        <w:br/>
      </w:r>
      <w:r w:rsidRPr="00ED1F89">
        <w:rPr>
          <w:b/>
          <w:bCs/>
          <w:sz w:val="20"/>
          <w:szCs w:val="20"/>
        </w:rPr>
        <w:t>Captain’s Risk Corner:</w:t>
      </w:r>
      <w:r w:rsidRPr="00ED1F89">
        <w:rPr>
          <w:sz w:val="20"/>
          <w:szCs w:val="20"/>
        </w:rPr>
        <w:t xml:space="preserve"> one practical safety lesson per episode.</w:t>
      </w:r>
      <w:r w:rsidRPr="00ED1F89">
        <w:rPr>
          <w:sz w:val="20"/>
          <w:szCs w:val="20"/>
        </w:rPr>
        <w:br/>
      </w:r>
      <w:r w:rsidRPr="00ED1F89">
        <w:rPr>
          <w:b/>
          <w:bCs/>
          <w:sz w:val="20"/>
          <w:szCs w:val="20"/>
        </w:rPr>
        <w:t>Expedition File:</w:t>
      </w:r>
      <w:r w:rsidRPr="00ED1F89">
        <w:rPr>
          <w:sz w:val="20"/>
          <w:szCs w:val="20"/>
        </w:rPr>
        <w:t xml:space="preserve"> stories about exploration vessels, polar ships, research yachts, and unusual voyages.</w:t>
      </w:r>
      <w:r w:rsidRPr="00ED1F89">
        <w:rPr>
          <w:sz w:val="20"/>
          <w:szCs w:val="20"/>
        </w:rPr>
        <w:br/>
      </w:r>
      <w:r w:rsidRPr="00ED1F89">
        <w:rPr>
          <w:b/>
          <w:bCs/>
          <w:sz w:val="20"/>
          <w:szCs w:val="20"/>
        </w:rPr>
        <w:t>Weather Window:</w:t>
      </w:r>
      <w:r w:rsidRPr="00ED1F89">
        <w:rPr>
          <w:sz w:val="20"/>
          <w:szCs w:val="20"/>
        </w:rPr>
        <w:t xml:space="preserve"> explain how captains </w:t>
      </w:r>
      <w:proofErr w:type="gramStart"/>
      <w:r w:rsidRPr="00ED1F89">
        <w:rPr>
          <w:sz w:val="20"/>
          <w:szCs w:val="20"/>
        </w:rPr>
        <w:t>actually decide</w:t>
      </w:r>
      <w:proofErr w:type="gramEnd"/>
      <w:r w:rsidRPr="00ED1F89">
        <w:rPr>
          <w:sz w:val="20"/>
          <w:szCs w:val="20"/>
        </w:rPr>
        <w:t xml:space="preserve"> whether to go or stay.</w:t>
      </w:r>
      <w:r w:rsidRPr="00ED1F89">
        <w:rPr>
          <w:sz w:val="20"/>
          <w:szCs w:val="20"/>
        </w:rPr>
        <w:br/>
      </w:r>
      <w:r w:rsidRPr="00ED1F89">
        <w:rPr>
          <w:b/>
          <w:bCs/>
          <w:sz w:val="20"/>
          <w:szCs w:val="20"/>
        </w:rPr>
        <w:t>Lessons from the Water:</w:t>
      </w:r>
      <w:r w:rsidRPr="00ED1F89">
        <w:rPr>
          <w:sz w:val="20"/>
          <w:szCs w:val="20"/>
        </w:rPr>
        <w:t xml:space="preserve"> mistakes, near misses, and what they teach.</w:t>
      </w:r>
    </w:p>
    <w:p w14:paraId="5AE6856D" w14:textId="77777777" w:rsidR="0013291B" w:rsidRPr="00ED1F89" w:rsidRDefault="00000000" w:rsidP="0013291B">
      <w:pPr>
        <w:rPr>
          <w:sz w:val="20"/>
          <w:szCs w:val="20"/>
        </w:rPr>
      </w:pPr>
      <w:r w:rsidRPr="00ED1F89">
        <w:rPr>
          <w:sz w:val="20"/>
          <w:szCs w:val="20"/>
        </w:rPr>
        <w:lastRenderedPageBreak/>
        <w:pict w14:anchorId="0A920470">
          <v:rect id="_x0000_i1032" style="width:0;height:1.5pt" o:hralign="center" o:hrstd="t" o:hr="t" fillcolor="#a0a0a0" stroked="f"/>
        </w:pict>
      </w:r>
    </w:p>
    <w:p w14:paraId="58998169" w14:textId="77777777" w:rsidR="0013291B" w:rsidRPr="00ED1F89" w:rsidRDefault="0013291B" w:rsidP="0013291B">
      <w:pPr>
        <w:rPr>
          <w:b/>
          <w:bCs/>
          <w:sz w:val="20"/>
          <w:szCs w:val="20"/>
        </w:rPr>
      </w:pPr>
      <w:r w:rsidRPr="00ED1F89">
        <w:rPr>
          <w:b/>
          <w:bCs/>
          <w:sz w:val="20"/>
          <w:szCs w:val="20"/>
        </w:rPr>
        <w:t xml:space="preserve">8. Current and Future Scheduled </w:t>
      </w:r>
      <w:proofErr w:type="spellStart"/>
      <w:r w:rsidRPr="00ED1F89">
        <w:rPr>
          <w:b/>
          <w:bCs/>
          <w:sz w:val="20"/>
          <w:szCs w:val="20"/>
        </w:rPr>
        <w:t>Billfishing</w:t>
      </w:r>
      <w:proofErr w:type="spellEnd"/>
      <w:r w:rsidRPr="00ED1F89">
        <w:rPr>
          <w:b/>
          <w:bCs/>
          <w:sz w:val="20"/>
          <w:szCs w:val="20"/>
        </w:rPr>
        <w:t xml:space="preserve"> Tournaments</w:t>
      </w:r>
    </w:p>
    <w:p w14:paraId="140678AE" w14:textId="77777777" w:rsidR="0013291B" w:rsidRPr="00ED1F89" w:rsidRDefault="0013291B" w:rsidP="0013291B">
      <w:pPr>
        <w:rPr>
          <w:sz w:val="20"/>
          <w:szCs w:val="20"/>
        </w:rPr>
      </w:pPr>
      <w:r w:rsidRPr="00ED1F89">
        <w:rPr>
          <w:sz w:val="20"/>
          <w:szCs w:val="20"/>
        </w:rPr>
        <w:t xml:space="preserve">As of </w:t>
      </w:r>
      <w:r w:rsidRPr="00ED1F89">
        <w:rPr>
          <w:b/>
          <w:bCs/>
          <w:sz w:val="20"/>
          <w:szCs w:val="20"/>
        </w:rPr>
        <w:t>June 26, 2026</w:t>
      </w:r>
      <w:r w:rsidRPr="00ED1F89">
        <w:rPr>
          <w:sz w:val="20"/>
          <w:szCs w:val="20"/>
        </w:rPr>
        <w:t>, the Bay Point Billfish Open is underway in Panama City Beach, running June 23–28 at Point South Marina. The event describes itself as a premier Northern Gulf Coast sportfishing tournament featuring blue marlin, tuna, wahoo, dolphinfish, and catch-and-release opportunities for Gulf billfish species. (</w:t>
      </w:r>
      <w:hyperlink r:id="rId26" w:tooltip="Sport Fishing Tournament | Bay Point Billfish Open" w:history="1">
        <w:r w:rsidRPr="00ED1F89">
          <w:rPr>
            <w:rStyle w:val="Hyperlink"/>
            <w:sz w:val="20"/>
            <w:szCs w:val="20"/>
          </w:rPr>
          <w:t>Bay Point Billfish Open</w:t>
        </w:r>
      </w:hyperlink>
      <w:r w:rsidRPr="00ED1F89">
        <w:rPr>
          <w:sz w:val="20"/>
          <w:szCs w:val="20"/>
        </w:rPr>
        <w:t>)</w:t>
      </w:r>
    </w:p>
    <w:p w14:paraId="57507564" w14:textId="77777777" w:rsidR="0013291B" w:rsidRPr="00ED1F89" w:rsidRDefault="0013291B" w:rsidP="0013291B">
      <w:pPr>
        <w:rPr>
          <w:sz w:val="20"/>
          <w:szCs w:val="20"/>
        </w:rPr>
      </w:pPr>
      <w:r w:rsidRPr="00ED1F89">
        <w:rPr>
          <w:sz w:val="20"/>
          <w:szCs w:val="20"/>
        </w:rPr>
        <w:t>Upcoming and current events Horizon Watch could track include: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0"/>
        <w:gridCol w:w="976"/>
        <w:gridCol w:w="2081"/>
        <w:gridCol w:w="4153"/>
      </w:tblGrid>
      <w:tr w:rsidR="0013291B" w:rsidRPr="00ED1F89" w14:paraId="74F60E97" w14:textId="77777777">
        <w:trPr>
          <w:tblHeader/>
          <w:tblCellSpacing w:w="15" w:type="dxa"/>
        </w:trPr>
        <w:tc>
          <w:tcPr>
            <w:tcW w:w="0" w:type="auto"/>
            <w:vAlign w:val="center"/>
            <w:hideMark/>
          </w:tcPr>
          <w:p w14:paraId="44B4506C" w14:textId="77777777" w:rsidR="0013291B" w:rsidRPr="00ED1F89" w:rsidRDefault="0013291B" w:rsidP="0013291B">
            <w:pPr>
              <w:rPr>
                <w:b/>
                <w:bCs/>
                <w:sz w:val="20"/>
                <w:szCs w:val="20"/>
              </w:rPr>
            </w:pPr>
            <w:r w:rsidRPr="00ED1F89">
              <w:rPr>
                <w:b/>
                <w:bCs/>
                <w:sz w:val="20"/>
                <w:szCs w:val="20"/>
              </w:rPr>
              <w:t>Event</w:t>
            </w:r>
          </w:p>
        </w:tc>
        <w:tc>
          <w:tcPr>
            <w:tcW w:w="0" w:type="auto"/>
            <w:vAlign w:val="center"/>
            <w:hideMark/>
          </w:tcPr>
          <w:p w14:paraId="547E29EE" w14:textId="77777777" w:rsidR="0013291B" w:rsidRPr="00ED1F89" w:rsidRDefault="0013291B" w:rsidP="0013291B">
            <w:pPr>
              <w:rPr>
                <w:b/>
                <w:bCs/>
                <w:sz w:val="20"/>
                <w:szCs w:val="20"/>
              </w:rPr>
            </w:pPr>
            <w:r w:rsidRPr="00ED1F89">
              <w:rPr>
                <w:b/>
                <w:bCs/>
                <w:sz w:val="20"/>
                <w:szCs w:val="20"/>
              </w:rPr>
              <w:t>Dates</w:t>
            </w:r>
          </w:p>
        </w:tc>
        <w:tc>
          <w:tcPr>
            <w:tcW w:w="0" w:type="auto"/>
            <w:vAlign w:val="center"/>
            <w:hideMark/>
          </w:tcPr>
          <w:p w14:paraId="071B827B" w14:textId="77777777" w:rsidR="0013291B" w:rsidRPr="00ED1F89" w:rsidRDefault="0013291B" w:rsidP="0013291B">
            <w:pPr>
              <w:rPr>
                <w:b/>
                <w:bCs/>
                <w:sz w:val="20"/>
                <w:szCs w:val="20"/>
              </w:rPr>
            </w:pPr>
            <w:r w:rsidRPr="00ED1F89">
              <w:rPr>
                <w:b/>
                <w:bCs/>
                <w:sz w:val="20"/>
                <w:szCs w:val="20"/>
              </w:rPr>
              <w:t>Location</w:t>
            </w:r>
          </w:p>
        </w:tc>
        <w:tc>
          <w:tcPr>
            <w:tcW w:w="0" w:type="auto"/>
            <w:vAlign w:val="center"/>
            <w:hideMark/>
          </w:tcPr>
          <w:p w14:paraId="45695531" w14:textId="77777777" w:rsidR="0013291B" w:rsidRPr="00ED1F89" w:rsidRDefault="0013291B" w:rsidP="0013291B">
            <w:pPr>
              <w:rPr>
                <w:b/>
                <w:bCs/>
                <w:sz w:val="20"/>
                <w:szCs w:val="20"/>
              </w:rPr>
            </w:pPr>
            <w:r w:rsidRPr="00ED1F89">
              <w:rPr>
                <w:b/>
                <w:bCs/>
                <w:sz w:val="20"/>
                <w:szCs w:val="20"/>
              </w:rPr>
              <w:t>Horizon Watch Angle</w:t>
            </w:r>
          </w:p>
        </w:tc>
      </w:tr>
      <w:tr w:rsidR="0013291B" w:rsidRPr="00ED1F89" w14:paraId="64C189E2" w14:textId="77777777">
        <w:trPr>
          <w:tblCellSpacing w:w="15" w:type="dxa"/>
        </w:trPr>
        <w:tc>
          <w:tcPr>
            <w:tcW w:w="0" w:type="auto"/>
            <w:vAlign w:val="center"/>
            <w:hideMark/>
          </w:tcPr>
          <w:p w14:paraId="1E9AB63C" w14:textId="77777777" w:rsidR="0013291B" w:rsidRPr="00ED1F89" w:rsidRDefault="0013291B" w:rsidP="0013291B">
            <w:pPr>
              <w:rPr>
                <w:sz w:val="20"/>
                <w:szCs w:val="20"/>
              </w:rPr>
            </w:pPr>
            <w:r w:rsidRPr="00ED1F89">
              <w:rPr>
                <w:b/>
                <w:bCs/>
                <w:sz w:val="20"/>
                <w:szCs w:val="20"/>
              </w:rPr>
              <w:t>Bay Point Billfish Open</w:t>
            </w:r>
          </w:p>
        </w:tc>
        <w:tc>
          <w:tcPr>
            <w:tcW w:w="0" w:type="auto"/>
            <w:vAlign w:val="center"/>
            <w:hideMark/>
          </w:tcPr>
          <w:p w14:paraId="304DED8C" w14:textId="77777777" w:rsidR="0013291B" w:rsidRPr="00ED1F89" w:rsidRDefault="0013291B" w:rsidP="0013291B">
            <w:pPr>
              <w:rPr>
                <w:sz w:val="20"/>
                <w:szCs w:val="20"/>
              </w:rPr>
            </w:pPr>
            <w:r w:rsidRPr="00ED1F89">
              <w:rPr>
                <w:sz w:val="20"/>
                <w:szCs w:val="20"/>
              </w:rPr>
              <w:t>June 23–28, 2026</w:t>
            </w:r>
          </w:p>
        </w:tc>
        <w:tc>
          <w:tcPr>
            <w:tcW w:w="0" w:type="auto"/>
            <w:vAlign w:val="center"/>
            <w:hideMark/>
          </w:tcPr>
          <w:p w14:paraId="389ECDDB" w14:textId="77777777" w:rsidR="0013291B" w:rsidRPr="00ED1F89" w:rsidRDefault="0013291B" w:rsidP="0013291B">
            <w:pPr>
              <w:rPr>
                <w:sz w:val="20"/>
                <w:szCs w:val="20"/>
              </w:rPr>
            </w:pPr>
            <w:r w:rsidRPr="00ED1F89">
              <w:rPr>
                <w:sz w:val="20"/>
                <w:szCs w:val="20"/>
              </w:rPr>
              <w:t>Panama City Beach, Florida</w:t>
            </w:r>
          </w:p>
        </w:tc>
        <w:tc>
          <w:tcPr>
            <w:tcW w:w="0" w:type="auto"/>
            <w:vAlign w:val="center"/>
            <w:hideMark/>
          </w:tcPr>
          <w:p w14:paraId="3F4C14AA" w14:textId="77777777" w:rsidR="0013291B" w:rsidRPr="00ED1F89" w:rsidRDefault="0013291B" w:rsidP="0013291B">
            <w:pPr>
              <w:rPr>
                <w:sz w:val="20"/>
                <w:szCs w:val="20"/>
              </w:rPr>
            </w:pPr>
            <w:r w:rsidRPr="00ED1F89">
              <w:rPr>
                <w:sz w:val="20"/>
                <w:szCs w:val="20"/>
              </w:rPr>
              <w:t>Local flagship coverage; dock interviews; weigh-ins; captain stories.</w:t>
            </w:r>
          </w:p>
        </w:tc>
      </w:tr>
      <w:tr w:rsidR="0013291B" w:rsidRPr="00ED1F89" w14:paraId="4E5AA98D" w14:textId="77777777">
        <w:trPr>
          <w:tblCellSpacing w:w="15" w:type="dxa"/>
        </w:trPr>
        <w:tc>
          <w:tcPr>
            <w:tcW w:w="0" w:type="auto"/>
            <w:vAlign w:val="center"/>
            <w:hideMark/>
          </w:tcPr>
          <w:p w14:paraId="6FD391EB" w14:textId="77777777" w:rsidR="0013291B" w:rsidRPr="00ED1F89" w:rsidRDefault="0013291B" w:rsidP="0013291B">
            <w:pPr>
              <w:rPr>
                <w:sz w:val="20"/>
                <w:szCs w:val="20"/>
              </w:rPr>
            </w:pPr>
            <w:r w:rsidRPr="00ED1F89">
              <w:rPr>
                <w:b/>
                <w:bCs/>
                <w:sz w:val="20"/>
                <w:szCs w:val="20"/>
              </w:rPr>
              <w:t>Blue Marlin Grand Championship</w:t>
            </w:r>
          </w:p>
        </w:tc>
        <w:tc>
          <w:tcPr>
            <w:tcW w:w="0" w:type="auto"/>
            <w:vAlign w:val="center"/>
            <w:hideMark/>
          </w:tcPr>
          <w:p w14:paraId="2291D703" w14:textId="77777777" w:rsidR="0013291B" w:rsidRPr="00ED1F89" w:rsidRDefault="0013291B" w:rsidP="0013291B">
            <w:pPr>
              <w:rPr>
                <w:sz w:val="20"/>
                <w:szCs w:val="20"/>
              </w:rPr>
            </w:pPr>
            <w:r w:rsidRPr="00ED1F89">
              <w:rPr>
                <w:sz w:val="20"/>
                <w:szCs w:val="20"/>
              </w:rPr>
              <w:t>July 14–19, 2026</w:t>
            </w:r>
          </w:p>
        </w:tc>
        <w:tc>
          <w:tcPr>
            <w:tcW w:w="0" w:type="auto"/>
            <w:vAlign w:val="center"/>
            <w:hideMark/>
          </w:tcPr>
          <w:p w14:paraId="4FF264A2" w14:textId="77777777" w:rsidR="0013291B" w:rsidRPr="00ED1F89" w:rsidRDefault="0013291B" w:rsidP="0013291B">
            <w:pPr>
              <w:rPr>
                <w:sz w:val="20"/>
                <w:szCs w:val="20"/>
              </w:rPr>
            </w:pPr>
            <w:r w:rsidRPr="00ED1F89">
              <w:rPr>
                <w:sz w:val="20"/>
                <w:szCs w:val="20"/>
              </w:rPr>
              <w:t>The Wharf Marina, Orange Beach, Alabama</w:t>
            </w:r>
          </w:p>
        </w:tc>
        <w:tc>
          <w:tcPr>
            <w:tcW w:w="0" w:type="auto"/>
            <w:vAlign w:val="center"/>
            <w:hideMark/>
          </w:tcPr>
          <w:p w14:paraId="210B6CD3" w14:textId="77777777" w:rsidR="0013291B" w:rsidRPr="00ED1F89" w:rsidRDefault="0013291B" w:rsidP="0013291B">
            <w:pPr>
              <w:rPr>
                <w:sz w:val="20"/>
                <w:szCs w:val="20"/>
              </w:rPr>
            </w:pPr>
            <w:r w:rsidRPr="00ED1F89">
              <w:rPr>
                <w:sz w:val="20"/>
                <w:szCs w:val="20"/>
              </w:rPr>
              <w:t>Major Gulf Coast tournament; high-energy sportfishing coverage. (</w:t>
            </w:r>
            <w:hyperlink r:id="rId27" w:tooltip="Home - Blue Marlin Grand Championship" w:history="1">
              <w:r w:rsidRPr="00ED1F89">
                <w:rPr>
                  <w:rStyle w:val="Hyperlink"/>
                  <w:sz w:val="20"/>
                  <w:szCs w:val="20"/>
                </w:rPr>
                <w:t>Blue Marlin Grand Championship</w:t>
              </w:r>
            </w:hyperlink>
            <w:r w:rsidRPr="00ED1F89">
              <w:rPr>
                <w:sz w:val="20"/>
                <w:szCs w:val="20"/>
              </w:rPr>
              <w:t>)</w:t>
            </w:r>
          </w:p>
        </w:tc>
      </w:tr>
      <w:tr w:rsidR="0013291B" w:rsidRPr="00ED1F89" w14:paraId="65336D50" w14:textId="77777777">
        <w:trPr>
          <w:tblCellSpacing w:w="15" w:type="dxa"/>
        </w:trPr>
        <w:tc>
          <w:tcPr>
            <w:tcW w:w="0" w:type="auto"/>
            <w:vAlign w:val="center"/>
            <w:hideMark/>
          </w:tcPr>
          <w:p w14:paraId="07276A55" w14:textId="77777777" w:rsidR="0013291B" w:rsidRPr="00ED1F89" w:rsidRDefault="0013291B" w:rsidP="0013291B">
            <w:pPr>
              <w:rPr>
                <w:sz w:val="20"/>
                <w:szCs w:val="20"/>
              </w:rPr>
            </w:pPr>
            <w:r w:rsidRPr="00ED1F89">
              <w:rPr>
                <w:b/>
                <w:bCs/>
                <w:sz w:val="20"/>
                <w:szCs w:val="20"/>
              </w:rPr>
              <w:t>Mongo Challenge</w:t>
            </w:r>
          </w:p>
        </w:tc>
        <w:tc>
          <w:tcPr>
            <w:tcW w:w="0" w:type="auto"/>
            <w:vAlign w:val="center"/>
            <w:hideMark/>
          </w:tcPr>
          <w:p w14:paraId="0E26E5C5" w14:textId="77777777" w:rsidR="0013291B" w:rsidRPr="00ED1F89" w:rsidRDefault="0013291B" w:rsidP="0013291B">
            <w:pPr>
              <w:rPr>
                <w:sz w:val="20"/>
                <w:szCs w:val="20"/>
              </w:rPr>
            </w:pPr>
            <w:r w:rsidRPr="00ED1F89">
              <w:rPr>
                <w:sz w:val="20"/>
                <w:szCs w:val="20"/>
              </w:rPr>
              <w:t>May 1–Sept. 30, 2026</w:t>
            </w:r>
          </w:p>
        </w:tc>
        <w:tc>
          <w:tcPr>
            <w:tcW w:w="0" w:type="auto"/>
            <w:vAlign w:val="center"/>
            <w:hideMark/>
          </w:tcPr>
          <w:p w14:paraId="05497476" w14:textId="77777777" w:rsidR="0013291B" w:rsidRPr="00ED1F89" w:rsidRDefault="0013291B" w:rsidP="0013291B">
            <w:pPr>
              <w:rPr>
                <w:sz w:val="20"/>
                <w:szCs w:val="20"/>
              </w:rPr>
            </w:pPr>
            <w:r w:rsidRPr="00ED1F89">
              <w:rPr>
                <w:sz w:val="20"/>
                <w:szCs w:val="20"/>
              </w:rPr>
              <w:t>Gulf-wide format</w:t>
            </w:r>
          </w:p>
        </w:tc>
        <w:tc>
          <w:tcPr>
            <w:tcW w:w="0" w:type="auto"/>
            <w:vAlign w:val="center"/>
            <w:hideMark/>
          </w:tcPr>
          <w:p w14:paraId="6E0587B0" w14:textId="77777777" w:rsidR="0013291B" w:rsidRPr="00ED1F89" w:rsidRDefault="0013291B" w:rsidP="0013291B">
            <w:pPr>
              <w:rPr>
                <w:sz w:val="20"/>
                <w:szCs w:val="20"/>
              </w:rPr>
            </w:pPr>
            <w:r w:rsidRPr="00ED1F89">
              <w:rPr>
                <w:sz w:val="20"/>
                <w:szCs w:val="20"/>
              </w:rPr>
              <w:t>Long-duration offshore competition; good for season-long updates. (</w:t>
            </w:r>
            <w:hyperlink r:id="rId28" w:tooltip="Tournaments - The Billfish Foundation" w:history="1">
              <w:r w:rsidRPr="00ED1F89">
                <w:rPr>
                  <w:rStyle w:val="Hyperlink"/>
                  <w:sz w:val="20"/>
                  <w:szCs w:val="20"/>
                </w:rPr>
                <w:t>The Billfish Foundation</w:t>
              </w:r>
            </w:hyperlink>
            <w:r w:rsidRPr="00ED1F89">
              <w:rPr>
                <w:sz w:val="20"/>
                <w:szCs w:val="20"/>
              </w:rPr>
              <w:t>)</w:t>
            </w:r>
          </w:p>
        </w:tc>
      </w:tr>
      <w:tr w:rsidR="0013291B" w:rsidRPr="00ED1F89" w14:paraId="7C69F5D4" w14:textId="77777777">
        <w:trPr>
          <w:tblCellSpacing w:w="15" w:type="dxa"/>
        </w:trPr>
        <w:tc>
          <w:tcPr>
            <w:tcW w:w="0" w:type="auto"/>
            <w:vAlign w:val="center"/>
            <w:hideMark/>
          </w:tcPr>
          <w:p w14:paraId="00F57201" w14:textId="77777777" w:rsidR="0013291B" w:rsidRPr="00ED1F89" w:rsidRDefault="0013291B" w:rsidP="0013291B">
            <w:pPr>
              <w:rPr>
                <w:sz w:val="20"/>
                <w:szCs w:val="20"/>
              </w:rPr>
            </w:pPr>
            <w:r w:rsidRPr="00ED1F89">
              <w:rPr>
                <w:b/>
                <w:bCs/>
                <w:sz w:val="20"/>
                <w:szCs w:val="20"/>
              </w:rPr>
              <w:t>Pirates Cove Billfish Tournament</w:t>
            </w:r>
          </w:p>
        </w:tc>
        <w:tc>
          <w:tcPr>
            <w:tcW w:w="0" w:type="auto"/>
            <w:vAlign w:val="center"/>
            <w:hideMark/>
          </w:tcPr>
          <w:p w14:paraId="63233EF8" w14:textId="77777777" w:rsidR="0013291B" w:rsidRPr="00ED1F89" w:rsidRDefault="0013291B" w:rsidP="0013291B">
            <w:pPr>
              <w:rPr>
                <w:sz w:val="20"/>
                <w:szCs w:val="20"/>
              </w:rPr>
            </w:pPr>
            <w:r w:rsidRPr="00ED1F89">
              <w:rPr>
                <w:sz w:val="20"/>
                <w:szCs w:val="20"/>
              </w:rPr>
              <w:t>Aug. 10–14, 2026</w:t>
            </w:r>
          </w:p>
        </w:tc>
        <w:tc>
          <w:tcPr>
            <w:tcW w:w="0" w:type="auto"/>
            <w:vAlign w:val="center"/>
            <w:hideMark/>
          </w:tcPr>
          <w:p w14:paraId="5A33892F" w14:textId="77777777" w:rsidR="0013291B" w:rsidRPr="00ED1F89" w:rsidRDefault="0013291B" w:rsidP="0013291B">
            <w:pPr>
              <w:rPr>
                <w:sz w:val="20"/>
                <w:szCs w:val="20"/>
              </w:rPr>
            </w:pPr>
            <w:r w:rsidRPr="00ED1F89">
              <w:rPr>
                <w:sz w:val="20"/>
                <w:szCs w:val="20"/>
              </w:rPr>
              <w:t>North Carolina</w:t>
            </w:r>
          </w:p>
        </w:tc>
        <w:tc>
          <w:tcPr>
            <w:tcW w:w="0" w:type="auto"/>
            <w:vAlign w:val="center"/>
            <w:hideMark/>
          </w:tcPr>
          <w:p w14:paraId="0622B442" w14:textId="77777777" w:rsidR="0013291B" w:rsidRPr="00ED1F89" w:rsidRDefault="0013291B" w:rsidP="0013291B">
            <w:pPr>
              <w:rPr>
                <w:sz w:val="20"/>
                <w:szCs w:val="20"/>
              </w:rPr>
            </w:pPr>
            <w:r w:rsidRPr="00ED1F89">
              <w:rPr>
                <w:sz w:val="20"/>
                <w:szCs w:val="20"/>
              </w:rPr>
              <w:t>East Coast billfish culture and fleet coverage. (</w:t>
            </w:r>
            <w:hyperlink r:id="rId29" w:tooltip="Tournaments - The Billfish Foundation" w:history="1">
              <w:r w:rsidRPr="00ED1F89">
                <w:rPr>
                  <w:rStyle w:val="Hyperlink"/>
                  <w:sz w:val="20"/>
                  <w:szCs w:val="20"/>
                </w:rPr>
                <w:t>The Billfish Foundation</w:t>
              </w:r>
            </w:hyperlink>
            <w:r w:rsidRPr="00ED1F89">
              <w:rPr>
                <w:sz w:val="20"/>
                <w:szCs w:val="20"/>
              </w:rPr>
              <w:t>)</w:t>
            </w:r>
          </w:p>
        </w:tc>
      </w:tr>
      <w:tr w:rsidR="0013291B" w:rsidRPr="00ED1F89" w14:paraId="0A51A59E" w14:textId="77777777">
        <w:trPr>
          <w:tblCellSpacing w:w="15" w:type="dxa"/>
        </w:trPr>
        <w:tc>
          <w:tcPr>
            <w:tcW w:w="0" w:type="auto"/>
            <w:vAlign w:val="center"/>
            <w:hideMark/>
          </w:tcPr>
          <w:p w14:paraId="0808CC84" w14:textId="77777777" w:rsidR="0013291B" w:rsidRPr="00ED1F89" w:rsidRDefault="0013291B" w:rsidP="0013291B">
            <w:pPr>
              <w:rPr>
                <w:sz w:val="20"/>
                <w:szCs w:val="20"/>
              </w:rPr>
            </w:pPr>
            <w:r w:rsidRPr="00ED1F89">
              <w:rPr>
                <w:b/>
                <w:bCs/>
                <w:sz w:val="20"/>
                <w:szCs w:val="20"/>
              </w:rPr>
              <w:t>Beach Haven White Marlin Invitational</w:t>
            </w:r>
          </w:p>
        </w:tc>
        <w:tc>
          <w:tcPr>
            <w:tcW w:w="0" w:type="auto"/>
            <w:vAlign w:val="center"/>
            <w:hideMark/>
          </w:tcPr>
          <w:p w14:paraId="549A993A" w14:textId="77777777" w:rsidR="0013291B" w:rsidRPr="00ED1F89" w:rsidRDefault="0013291B" w:rsidP="0013291B">
            <w:pPr>
              <w:rPr>
                <w:sz w:val="20"/>
                <w:szCs w:val="20"/>
              </w:rPr>
            </w:pPr>
            <w:r w:rsidRPr="00ED1F89">
              <w:rPr>
                <w:sz w:val="20"/>
                <w:szCs w:val="20"/>
              </w:rPr>
              <w:t>Aug. 10–15, 2026</w:t>
            </w:r>
          </w:p>
        </w:tc>
        <w:tc>
          <w:tcPr>
            <w:tcW w:w="0" w:type="auto"/>
            <w:vAlign w:val="center"/>
            <w:hideMark/>
          </w:tcPr>
          <w:p w14:paraId="49F52587" w14:textId="77777777" w:rsidR="0013291B" w:rsidRPr="00ED1F89" w:rsidRDefault="0013291B" w:rsidP="0013291B">
            <w:pPr>
              <w:rPr>
                <w:sz w:val="20"/>
                <w:szCs w:val="20"/>
              </w:rPr>
            </w:pPr>
            <w:r w:rsidRPr="00ED1F89">
              <w:rPr>
                <w:sz w:val="20"/>
                <w:szCs w:val="20"/>
              </w:rPr>
              <w:t>New Jersey</w:t>
            </w:r>
          </w:p>
        </w:tc>
        <w:tc>
          <w:tcPr>
            <w:tcW w:w="0" w:type="auto"/>
            <w:vAlign w:val="center"/>
            <w:hideMark/>
          </w:tcPr>
          <w:p w14:paraId="5CAD959E" w14:textId="77777777" w:rsidR="0013291B" w:rsidRPr="00ED1F89" w:rsidRDefault="0013291B" w:rsidP="0013291B">
            <w:pPr>
              <w:rPr>
                <w:sz w:val="20"/>
                <w:szCs w:val="20"/>
              </w:rPr>
            </w:pPr>
            <w:r w:rsidRPr="00ED1F89">
              <w:rPr>
                <w:sz w:val="20"/>
                <w:szCs w:val="20"/>
              </w:rPr>
              <w:t>White marlin focus; Northeast tournament scene. (</w:t>
            </w:r>
            <w:hyperlink r:id="rId30" w:tooltip="Tournaments - The Billfish Foundation" w:history="1">
              <w:r w:rsidRPr="00ED1F89">
                <w:rPr>
                  <w:rStyle w:val="Hyperlink"/>
                  <w:sz w:val="20"/>
                  <w:szCs w:val="20"/>
                </w:rPr>
                <w:t>The Billfish Foundation</w:t>
              </w:r>
            </w:hyperlink>
            <w:r w:rsidRPr="00ED1F89">
              <w:rPr>
                <w:sz w:val="20"/>
                <w:szCs w:val="20"/>
              </w:rPr>
              <w:t>)</w:t>
            </w:r>
          </w:p>
        </w:tc>
      </w:tr>
      <w:tr w:rsidR="0013291B" w:rsidRPr="00ED1F89" w14:paraId="2F892F89" w14:textId="77777777">
        <w:trPr>
          <w:tblCellSpacing w:w="15" w:type="dxa"/>
        </w:trPr>
        <w:tc>
          <w:tcPr>
            <w:tcW w:w="0" w:type="auto"/>
            <w:vAlign w:val="center"/>
            <w:hideMark/>
          </w:tcPr>
          <w:p w14:paraId="794B625B" w14:textId="77777777" w:rsidR="0013291B" w:rsidRPr="00ED1F89" w:rsidRDefault="0013291B" w:rsidP="0013291B">
            <w:pPr>
              <w:rPr>
                <w:sz w:val="20"/>
                <w:szCs w:val="20"/>
              </w:rPr>
            </w:pPr>
            <w:r w:rsidRPr="00ED1F89">
              <w:rPr>
                <w:b/>
                <w:bCs/>
                <w:sz w:val="20"/>
                <w:szCs w:val="20"/>
              </w:rPr>
              <w:t>Mid-Atlantic</w:t>
            </w:r>
          </w:p>
        </w:tc>
        <w:tc>
          <w:tcPr>
            <w:tcW w:w="0" w:type="auto"/>
            <w:vAlign w:val="center"/>
            <w:hideMark/>
          </w:tcPr>
          <w:p w14:paraId="5C093398" w14:textId="77777777" w:rsidR="0013291B" w:rsidRPr="00ED1F89" w:rsidRDefault="0013291B" w:rsidP="0013291B">
            <w:pPr>
              <w:rPr>
                <w:sz w:val="20"/>
                <w:szCs w:val="20"/>
              </w:rPr>
            </w:pPr>
            <w:r w:rsidRPr="00ED1F89">
              <w:rPr>
                <w:sz w:val="20"/>
                <w:szCs w:val="20"/>
              </w:rPr>
              <w:t>Aug. 16–21, 2026</w:t>
            </w:r>
          </w:p>
        </w:tc>
        <w:tc>
          <w:tcPr>
            <w:tcW w:w="0" w:type="auto"/>
            <w:vAlign w:val="center"/>
            <w:hideMark/>
          </w:tcPr>
          <w:p w14:paraId="680D35D8" w14:textId="77777777" w:rsidR="0013291B" w:rsidRPr="00ED1F89" w:rsidRDefault="0013291B" w:rsidP="0013291B">
            <w:pPr>
              <w:rPr>
                <w:sz w:val="20"/>
                <w:szCs w:val="20"/>
              </w:rPr>
            </w:pPr>
            <w:r w:rsidRPr="00ED1F89">
              <w:rPr>
                <w:sz w:val="20"/>
                <w:szCs w:val="20"/>
              </w:rPr>
              <w:t>Northeast/Mid-Atlantic circuit</w:t>
            </w:r>
          </w:p>
        </w:tc>
        <w:tc>
          <w:tcPr>
            <w:tcW w:w="0" w:type="auto"/>
            <w:vAlign w:val="center"/>
            <w:hideMark/>
          </w:tcPr>
          <w:p w14:paraId="5DD78153" w14:textId="77777777" w:rsidR="0013291B" w:rsidRPr="00ED1F89" w:rsidRDefault="0013291B" w:rsidP="0013291B">
            <w:pPr>
              <w:rPr>
                <w:sz w:val="20"/>
                <w:szCs w:val="20"/>
              </w:rPr>
            </w:pPr>
            <w:r w:rsidRPr="00ED1F89">
              <w:rPr>
                <w:sz w:val="20"/>
                <w:szCs w:val="20"/>
              </w:rPr>
              <w:t>Big-money offshore tournament coverage. (</w:t>
            </w:r>
            <w:hyperlink r:id="rId31" w:tooltip="Tournaments - The Billfish Foundation" w:history="1">
              <w:r w:rsidRPr="00ED1F89">
                <w:rPr>
                  <w:rStyle w:val="Hyperlink"/>
                  <w:sz w:val="20"/>
                  <w:szCs w:val="20"/>
                </w:rPr>
                <w:t>The Billfish Foundation</w:t>
              </w:r>
            </w:hyperlink>
            <w:r w:rsidRPr="00ED1F89">
              <w:rPr>
                <w:sz w:val="20"/>
                <w:szCs w:val="20"/>
              </w:rPr>
              <w:t>)</w:t>
            </w:r>
          </w:p>
        </w:tc>
      </w:tr>
      <w:tr w:rsidR="0013291B" w:rsidRPr="00ED1F89" w14:paraId="54256190" w14:textId="77777777">
        <w:trPr>
          <w:tblCellSpacing w:w="15" w:type="dxa"/>
        </w:trPr>
        <w:tc>
          <w:tcPr>
            <w:tcW w:w="0" w:type="auto"/>
            <w:vAlign w:val="center"/>
            <w:hideMark/>
          </w:tcPr>
          <w:p w14:paraId="3CF16134" w14:textId="77777777" w:rsidR="0013291B" w:rsidRPr="00ED1F89" w:rsidRDefault="0013291B" w:rsidP="0013291B">
            <w:pPr>
              <w:rPr>
                <w:sz w:val="20"/>
                <w:szCs w:val="20"/>
              </w:rPr>
            </w:pPr>
            <w:r w:rsidRPr="00ED1F89">
              <w:rPr>
                <w:b/>
                <w:bCs/>
                <w:sz w:val="20"/>
                <w:szCs w:val="20"/>
              </w:rPr>
              <w:t>Kenny Vines Memorial Fishing Tournament</w:t>
            </w:r>
          </w:p>
        </w:tc>
        <w:tc>
          <w:tcPr>
            <w:tcW w:w="0" w:type="auto"/>
            <w:vAlign w:val="center"/>
            <w:hideMark/>
          </w:tcPr>
          <w:p w14:paraId="132AD7D8" w14:textId="77777777" w:rsidR="0013291B" w:rsidRPr="00ED1F89" w:rsidRDefault="0013291B" w:rsidP="0013291B">
            <w:pPr>
              <w:rPr>
                <w:sz w:val="20"/>
                <w:szCs w:val="20"/>
              </w:rPr>
            </w:pPr>
            <w:r w:rsidRPr="00ED1F89">
              <w:rPr>
                <w:sz w:val="20"/>
                <w:szCs w:val="20"/>
              </w:rPr>
              <w:t>Sept. 11–12, 2026</w:t>
            </w:r>
          </w:p>
        </w:tc>
        <w:tc>
          <w:tcPr>
            <w:tcW w:w="0" w:type="auto"/>
            <w:vAlign w:val="center"/>
            <w:hideMark/>
          </w:tcPr>
          <w:p w14:paraId="6DA725AD" w14:textId="77777777" w:rsidR="0013291B" w:rsidRPr="00ED1F89" w:rsidRDefault="0013291B" w:rsidP="0013291B">
            <w:pPr>
              <w:rPr>
                <w:sz w:val="20"/>
                <w:szCs w:val="20"/>
              </w:rPr>
            </w:pPr>
            <w:r w:rsidRPr="00ED1F89">
              <w:rPr>
                <w:sz w:val="20"/>
                <w:szCs w:val="20"/>
              </w:rPr>
              <w:t>Listed by The Billfish Foundation</w:t>
            </w:r>
          </w:p>
        </w:tc>
        <w:tc>
          <w:tcPr>
            <w:tcW w:w="0" w:type="auto"/>
            <w:vAlign w:val="center"/>
            <w:hideMark/>
          </w:tcPr>
          <w:p w14:paraId="405D3E21" w14:textId="77777777" w:rsidR="0013291B" w:rsidRPr="00ED1F89" w:rsidRDefault="0013291B" w:rsidP="0013291B">
            <w:pPr>
              <w:rPr>
                <w:sz w:val="20"/>
                <w:szCs w:val="20"/>
              </w:rPr>
            </w:pPr>
            <w:r w:rsidRPr="00ED1F89">
              <w:rPr>
                <w:sz w:val="20"/>
                <w:szCs w:val="20"/>
              </w:rPr>
              <w:t>Conservation/community angle. (</w:t>
            </w:r>
            <w:hyperlink r:id="rId32" w:tooltip="Tournaments - The Billfish Foundation" w:history="1">
              <w:r w:rsidRPr="00ED1F89">
                <w:rPr>
                  <w:rStyle w:val="Hyperlink"/>
                  <w:sz w:val="20"/>
                  <w:szCs w:val="20"/>
                </w:rPr>
                <w:t>The Billfish Foundation</w:t>
              </w:r>
            </w:hyperlink>
            <w:r w:rsidRPr="00ED1F89">
              <w:rPr>
                <w:sz w:val="20"/>
                <w:szCs w:val="20"/>
              </w:rPr>
              <w:t>)</w:t>
            </w:r>
          </w:p>
        </w:tc>
      </w:tr>
      <w:tr w:rsidR="0013291B" w:rsidRPr="00ED1F89" w14:paraId="01FB48A0" w14:textId="77777777">
        <w:trPr>
          <w:tblCellSpacing w:w="15" w:type="dxa"/>
        </w:trPr>
        <w:tc>
          <w:tcPr>
            <w:tcW w:w="0" w:type="auto"/>
            <w:vAlign w:val="center"/>
            <w:hideMark/>
          </w:tcPr>
          <w:p w14:paraId="391CA888" w14:textId="77777777" w:rsidR="0013291B" w:rsidRPr="00ED1F89" w:rsidRDefault="0013291B" w:rsidP="0013291B">
            <w:pPr>
              <w:rPr>
                <w:sz w:val="20"/>
                <w:szCs w:val="20"/>
              </w:rPr>
            </w:pPr>
            <w:r w:rsidRPr="00ED1F89">
              <w:rPr>
                <w:b/>
                <w:bCs/>
                <w:sz w:val="20"/>
                <w:szCs w:val="20"/>
              </w:rPr>
              <w:t>Big Dog Swordfish Tournament</w:t>
            </w:r>
          </w:p>
        </w:tc>
        <w:tc>
          <w:tcPr>
            <w:tcW w:w="0" w:type="auto"/>
            <w:vAlign w:val="center"/>
            <w:hideMark/>
          </w:tcPr>
          <w:p w14:paraId="1B7A2D5E" w14:textId="77777777" w:rsidR="0013291B" w:rsidRPr="00ED1F89" w:rsidRDefault="0013291B" w:rsidP="0013291B">
            <w:pPr>
              <w:rPr>
                <w:sz w:val="20"/>
                <w:szCs w:val="20"/>
              </w:rPr>
            </w:pPr>
            <w:r w:rsidRPr="00ED1F89">
              <w:rPr>
                <w:sz w:val="20"/>
                <w:szCs w:val="20"/>
              </w:rPr>
              <w:t>Oct. 15–18, 2026</w:t>
            </w:r>
          </w:p>
        </w:tc>
        <w:tc>
          <w:tcPr>
            <w:tcW w:w="0" w:type="auto"/>
            <w:vAlign w:val="center"/>
            <w:hideMark/>
          </w:tcPr>
          <w:p w14:paraId="392B3F53" w14:textId="77777777" w:rsidR="0013291B" w:rsidRPr="00ED1F89" w:rsidRDefault="0013291B" w:rsidP="0013291B">
            <w:pPr>
              <w:rPr>
                <w:sz w:val="20"/>
                <w:szCs w:val="20"/>
              </w:rPr>
            </w:pPr>
            <w:r w:rsidRPr="00ED1F89">
              <w:rPr>
                <w:sz w:val="20"/>
                <w:szCs w:val="20"/>
              </w:rPr>
              <w:t>Listed by The Billfish Foundation</w:t>
            </w:r>
          </w:p>
        </w:tc>
        <w:tc>
          <w:tcPr>
            <w:tcW w:w="0" w:type="auto"/>
            <w:vAlign w:val="center"/>
            <w:hideMark/>
          </w:tcPr>
          <w:p w14:paraId="4B291444" w14:textId="77777777" w:rsidR="0013291B" w:rsidRPr="00ED1F89" w:rsidRDefault="0013291B" w:rsidP="0013291B">
            <w:pPr>
              <w:rPr>
                <w:sz w:val="20"/>
                <w:szCs w:val="20"/>
              </w:rPr>
            </w:pPr>
            <w:r w:rsidRPr="00ED1F89">
              <w:rPr>
                <w:sz w:val="20"/>
                <w:szCs w:val="20"/>
              </w:rPr>
              <w:t>Swordfish techniques, night fishing, deep-drop gear. (</w:t>
            </w:r>
            <w:hyperlink r:id="rId33" w:tooltip="Tournaments - The Billfish Foundation" w:history="1">
              <w:r w:rsidRPr="00ED1F89">
                <w:rPr>
                  <w:rStyle w:val="Hyperlink"/>
                  <w:sz w:val="20"/>
                  <w:szCs w:val="20"/>
                </w:rPr>
                <w:t>The Billfish Foundation</w:t>
              </w:r>
            </w:hyperlink>
            <w:r w:rsidRPr="00ED1F89">
              <w:rPr>
                <w:sz w:val="20"/>
                <w:szCs w:val="20"/>
              </w:rPr>
              <w:t>)</w:t>
            </w:r>
          </w:p>
        </w:tc>
      </w:tr>
    </w:tbl>
    <w:p w14:paraId="201DE663" w14:textId="77777777" w:rsidR="0013291B" w:rsidRPr="00ED1F89" w:rsidRDefault="0013291B" w:rsidP="0013291B">
      <w:pPr>
        <w:rPr>
          <w:sz w:val="20"/>
          <w:szCs w:val="20"/>
        </w:rPr>
      </w:pPr>
      <w:r w:rsidRPr="00ED1F89">
        <w:rPr>
          <w:sz w:val="20"/>
          <w:szCs w:val="20"/>
        </w:rPr>
        <w:t>Horizon Watch should use tournaments as more than sports coverage. They are a gateway into ocean conditions, fish migration, fuel costs, electronics, boat design, conservation, tag-and-release practices, marina economies, weather routing, crew skill, and coastal culture.</w:t>
      </w:r>
    </w:p>
    <w:p w14:paraId="361C29A7" w14:textId="77777777" w:rsidR="0013291B" w:rsidRPr="00ED1F89" w:rsidRDefault="00000000" w:rsidP="0013291B">
      <w:pPr>
        <w:rPr>
          <w:sz w:val="20"/>
          <w:szCs w:val="20"/>
        </w:rPr>
      </w:pPr>
      <w:r w:rsidRPr="00ED1F89">
        <w:rPr>
          <w:sz w:val="20"/>
          <w:szCs w:val="20"/>
        </w:rPr>
        <w:pict w14:anchorId="1EC0F09D">
          <v:rect id="_x0000_i1033" style="width:0;height:1.5pt" o:hralign="center" o:hrstd="t" o:hr="t" fillcolor="#a0a0a0" stroked="f"/>
        </w:pict>
      </w:r>
    </w:p>
    <w:p w14:paraId="7176B34C" w14:textId="77777777" w:rsidR="0013291B" w:rsidRPr="00ED1F89" w:rsidRDefault="0013291B" w:rsidP="0013291B">
      <w:pPr>
        <w:rPr>
          <w:b/>
          <w:bCs/>
          <w:sz w:val="20"/>
          <w:szCs w:val="20"/>
        </w:rPr>
      </w:pPr>
      <w:r w:rsidRPr="00ED1F89">
        <w:rPr>
          <w:b/>
          <w:bCs/>
          <w:sz w:val="20"/>
          <w:szCs w:val="20"/>
        </w:rPr>
        <w:t>9. Sportfishing, Sailing, and Yachting News</w:t>
      </w:r>
    </w:p>
    <w:p w14:paraId="71C95D52" w14:textId="77777777" w:rsidR="0013291B" w:rsidRPr="00ED1F89" w:rsidRDefault="0013291B" w:rsidP="0013291B">
      <w:pPr>
        <w:rPr>
          <w:sz w:val="20"/>
          <w:szCs w:val="20"/>
        </w:rPr>
      </w:pPr>
      <w:r w:rsidRPr="00ED1F89">
        <w:rPr>
          <w:sz w:val="20"/>
          <w:szCs w:val="20"/>
        </w:rPr>
        <w:t xml:space="preserve">This section can make Horizon Watch more approachable and commercially useful. Sportfishing and yachting audiences care about weather, boats, electronics, engines, tournaments, marinas, gear, fuel prices, </w:t>
      </w:r>
      <w:r w:rsidRPr="00ED1F89">
        <w:rPr>
          <w:sz w:val="20"/>
          <w:szCs w:val="20"/>
        </w:rPr>
        <w:lastRenderedPageBreak/>
        <w:t>fishery rules, conservation, insurance, and safety. That overlaps naturally with Horizon Watch’s bigger themes.</w:t>
      </w:r>
    </w:p>
    <w:p w14:paraId="550E1696" w14:textId="77777777" w:rsidR="0013291B" w:rsidRPr="00ED1F89" w:rsidRDefault="0013291B" w:rsidP="0013291B">
      <w:pPr>
        <w:rPr>
          <w:sz w:val="20"/>
          <w:szCs w:val="20"/>
        </w:rPr>
      </w:pPr>
      <w:r w:rsidRPr="00ED1F89">
        <w:rPr>
          <w:sz w:val="20"/>
          <w:szCs w:val="20"/>
        </w:rPr>
        <w:t>NOAA Fisheries recently emphasized marine recreational fishing as a major American pastime that supports coastal communities and promotes stewardship of marine resources. (</w:t>
      </w:r>
      <w:hyperlink r:id="rId34" w:tooltip="Join us for National Fishing and Boating Week | NOAA Fisheries" w:history="1">
        <w:r w:rsidRPr="00ED1F89">
          <w:rPr>
            <w:rStyle w:val="Hyperlink"/>
            <w:sz w:val="20"/>
            <w:szCs w:val="20"/>
          </w:rPr>
          <w:t>NOAA Fisheries</w:t>
        </w:r>
      </w:hyperlink>
      <w:r w:rsidRPr="00ED1F89">
        <w:rPr>
          <w:sz w:val="20"/>
          <w:szCs w:val="20"/>
        </w:rPr>
        <w:t>) That gives Horizon Watch a strong public-facing angle: fishing is not just recreation; it is culture, economy, conservation, and ocean awareness.</w:t>
      </w:r>
    </w:p>
    <w:p w14:paraId="188565D1" w14:textId="77777777" w:rsidR="0013291B" w:rsidRPr="00ED1F89" w:rsidRDefault="0013291B" w:rsidP="0013291B">
      <w:pPr>
        <w:rPr>
          <w:sz w:val="20"/>
          <w:szCs w:val="20"/>
        </w:rPr>
      </w:pPr>
      <w:r w:rsidRPr="00ED1F89">
        <w:rPr>
          <w:sz w:val="20"/>
          <w:szCs w:val="20"/>
        </w:rPr>
        <w:t>Possible recurring coverage:</w:t>
      </w:r>
    </w:p>
    <w:p w14:paraId="509FB6ED" w14:textId="77777777" w:rsidR="0013291B" w:rsidRPr="00ED1F89" w:rsidRDefault="0013291B" w:rsidP="0013291B">
      <w:pPr>
        <w:rPr>
          <w:sz w:val="20"/>
          <w:szCs w:val="20"/>
        </w:rPr>
      </w:pPr>
      <w:r w:rsidRPr="00ED1F89">
        <w:rPr>
          <w:b/>
          <w:bCs/>
          <w:sz w:val="20"/>
          <w:szCs w:val="20"/>
        </w:rPr>
        <w:t>Sportfishing Watch:</w:t>
      </w:r>
      <w:r w:rsidRPr="00ED1F89">
        <w:rPr>
          <w:sz w:val="20"/>
          <w:szCs w:val="20"/>
        </w:rPr>
        <w:t xml:space="preserve"> tournament calendar, winning catches, fishery rule changes, bait reports, sea-surface temperature patterns, captain interviews.</w:t>
      </w:r>
      <w:r w:rsidRPr="00ED1F89">
        <w:rPr>
          <w:sz w:val="20"/>
          <w:szCs w:val="20"/>
        </w:rPr>
        <w:br/>
      </w:r>
      <w:r w:rsidRPr="00ED1F89">
        <w:rPr>
          <w:b/>
          <w:bCs/>
          <w:sz w:val="20"/>
          <w:szCs w:val="20"/>
        </w:rPr>
        <w:t>Yachting Watch:</w:t>
      </w:r>
      <w:r w:rsidRPr="00ED1F89">
        <w:rPr>
          <w:sz w:val="20"/>
          <w:szCs w:val="20"/>
        </w:rPr>
        <w:t xml:space="preserve"> new builds, refits, hybrid propulsion, electronics, stabilizers, Starlink/communications, insurance, marinas, expedition yacht design.</w:t>
      </w:r>
      <w:r w:rsidRPr="00ED1F89">
        <w:rPr>
          <w:sz w:val="20"/>
          <w:szCs w:val="20"/>
        </w:rPr>
        <w:br/>
      </w:r>
      <w:r w:rsidRPr="00ED1F89">
        <w:rPr>
          <w:b/>
          <w:bCs/>
          <w:sz w:val="20"/>
          <w:szCs w:val="20"/>
        </w:rPr>
        <w:t>Sailing Watch:</w:t>
      </w:r>
      <w:r w:rsidRPr="00ED1F89">
        <w:rPr>
          <w:sz w:val="20"/>
          <w:szCs w:val="20"/>
        </w:rPr>
        <w:t xml:space="preserve"> races, cruising routes, storm avoidance, sail training, offshore seamanship, navigation lessons.</w:t>
      </w:r>
      <w:r w:rsidRPr="00ED1F89">
        <w:rPr>
          <w:sz w:val="20"/>
          <w:szCs w:val="20"/>
        </w:rPr>
        <w:br/>
      </w:r>
      <w:r w:rsidRPr="00ED1F89">
        <w:rPr>
          <w:b/>
          <w:bCs/>
          <w:sz w:val="20"/>
          <w:szCs w:val="20"/>
        </w:rPr>
        <w:t>Boat Tech Watch:</w:t>
      </w:r>
      <w:r w:rsidRPr="00ED1F89">
        <w:rPr>
          <w:sz w:val="20"/>
          <w:szCs w:val="20"/>
        </w:rPr>
        <w:t xml:space="preserve"> radar, AIS, sonar, satellite communications, autopilots, lithium battery safety, emergency beacons, weather apps.</w:t>
      </w:r>
      <w:r w:rsidRPr="00ED1F89">
        <w:rPr>
          <w:sz w:val="20"/>
          <w:szCs w:val="20"/>
        </w:rPr>
        <w:br/>
      </w:r>
      <w:r w:rsidRPr="00ED1F89">
        <w:rPr>
          <w:b/>
          <w:bCs/>
          <w:sz w:val="20"/>
          <w:szCs w:val="20"/>
        </w:rPr>
        <w:t>Conservation Watch:</w:t>
      </w:r>
      <w:r w:rsidRPr="00ED1F89">
        <w:rPr>
          <w:sz w:val="20"/>
          <w:szCs w:val="20"/>
        </w:rPr>
        <w:t xml:space="preserve"> tag-and-release, habitat, reef conditions, fishery science, marine debris, responsible harvesting.</w:t>
      </w:r>
    </w:p>
    <w:p w14:paraId="1A397E30" w14:textId="77777777" w:rsidR="0013291B" w:rsidRPr="00ED1F89" w:rsidRDefault="0013291B" w:rsidP="0013291B">
      <w:pPr>
        <w:rPr>
          <w:sz w:val="20"/>
          <w:szCs w:val="20"/>
        </w:rPr>
      </w:pPr>
      <w:r w:rsidRPr="00ED1F89">
        <w:rPr>
          <w:sz w:val="20"/>
          <w:szCs w:val="20"/>
        </w:rPr>
        <w:t>This section also creates a natural advertising lane. Local marinas, boatyards, brokers, tackle shops, electronics installers, charter captains, yacht-service companies, restaurants, waterfront real estate brokers, and tourism operators all fit the Horizon Watch audience.</w:t>
      </w:r>
    </w:p>
    <w:p w14:paraId="2AAAB3FB" w14:textId="77777777" w:rsidR="0013291B" w:rsidRPr="00ED1F89" w:rsidRDefault="00000000" w:rsidP="0013291B">
      <w:pPr>
        <w:rPr>
          <w:sz w:val="20"/>
          <w:szCs w:val="20"/>
        </w:rPr>
      </w:pPr>
      <w:r w:rsidRPr="00ED1F89">
        <w:rPr>
          <w:sz w:val="20"/>
          <w:szCs w:val="20"/>
        </w:rPr>
        <w:pict w14:anchorId="6ADB8C27">
          <v:rect id="_x0000_i1034" style="width:0;height:1.5pt" o:hralign="center" o:hrstd="t" o:hr="t" fillcolor="#a0a0a0" stroked="f"/>
        </w:pict>
      </w:r>
    </w:p>
    <w:p w14:paraId="71C77507" w14:textId="77777777" w:rsidR="0013291B" w:rsidRPr="00ED1F89" w:rsidRDefault="0013291B" w:rsidP="0013291B">
      <w:pPr>
        <w:rPr>
          <w:b/>
          <w:bCs/>
          <w:sz w:val="20"/>
          <w:szCs w:val="20"/>
        </w:rPr>
      </w:pPr>
      <w:r w:rsidRPr="00ED1F89">
        <w:rPr>
          <w:b/>
          <w:bCs/>
          <w:sz w:val="20"/>
          <w:szCs w:val="20"/>
        </w:rPr>
        <w:t>10. Small Pleasure Boating for the Inexperienced</w:t>
      </w:r>
    </w:p>
    <w:p w14:paraId="0BE18D60" w14:textId="77777777" w:rsidR="0013291B" w:rsidRPr="00ED1F89" w:rsidRDefault="0013291B" w:rsidP="0013291B">
      <w:pPr>
        <w:rPr>
          <w:sz w:val="20"/>
          <w:szCs w:val="20"/>
        </w:rPr>
      </w:pPr>
      <w:r w:rsidRPr="00ED1F89">
        <w:rPr>
          <w:sz w:val="20"/>
          <w:szCs w:val="20"/>
        </w:rPr>
        <w:t xml:space="preserve">This should become one of Horizon Watch’s most useful public-service segments. A lot of new boaters do not know what they do not know. They buy a boat, watch a few videos, follow the </w:t>
      </w:r>
      <w:proofErr w:type="spellStart"/>
      <w:r w:rsidRPr="00ED1F89">
        <w:rPr>
          <w:sz w:val="20"/>
          <w:szCs w:val="20"/>
        </w:rPr>
        <w:t>chartplotter</w:t>
      </w:r>
      <w:proofErr w:type="spellEnd"/>
      <w:r w:rsidRPr="00ED1F89">
        <w:rPr>
          <w:sz w:val="20"/>
          <w:szCs w:val="20"/>
        </w:rPr>
        <w:t>, and assume good weather means safe boating. That is how people get hurt.</w:t>
      </w:r>
    </w:p>
    <w:p w14:paraId="66F94ADA" w14:textId="77777777" w:rsidR="0013291B" w:rsidRPr="00ED1F89" w:rsidRDefault="0013291B" w:rsidP="0013291B">
      <w:pPr>
        <w:rPr>
          <w:sz w:val="20"/>
          <w:szCs w:val="20"/>
        </w:rPr>
      </w:pPr>
      <w:r w:rsidRPr="00ED1F89">
        <w:rPr>
          <w:sz w:val="20"/>
          <w:szCs w:val="20"/>
        </w:rPr>
        <w:t>The U.S. Coast Guard reported that in 2024 there were 3,887 recreational boating incidents, 556 deaths, 2,170 injuries, and $88 million in property damage. Alcohol remained the leading known contributing factor in fatal boating accidents, while operator inattention, improper lookout, operator inexperience, machinery failure, and navigation-rule issues ranked among the top primary contributing factors in accidents. (</w:t>
      </w:r>
      <w:hyperlink r:id="rId35" w:tooltip="&#10; Coast Guard reports fewest boating fatalities in more than 50 years &gt; United States Coast Guard News &gt; Press Releases&#10;" w:history="1">
        <w:r w:rsidRPr="00ED1F89">
          <w:rPr>
            <w:rStyle w:val="Hyperlink"/>
            <w:sz w:val="20"/>
            <w:szCs w:val="20"/>
          </w:rPr>
          <w:t>US Coast Guard News</w:t>
        </w:r>
      </w:hyperlink>
      <w:r w:rsidRPr="00ED1F89">
        <w:rPr>
          <w:sz w:val="20"/>
          <w:szCs w:val="20"/>
        </w:rPr>
        <w:t>)</w:t>
      </w:r>
    </w:p>
    <w:p w14:paraId="04B98921" w14:textId="77777777" w:rsidR="0013291B" w:rsidRPr="00ED1F89" w:rsidRDefault="0013291B" w:rsidP="0013291B">
      <w:pPr>
        <w:rPr>
          <w:sz w:val="20"/>
          <w:szCs w:val="20"/>
        </w:rPr>
      </w:pPr>
      <w:r w:rsidRPr="00ED1F89">
        <w:rPr>
          <w:sz w:val="20"/>
          <w:szCs w:val="20"/>
        </w:rPr>
        <w:t>Horizon Watch can turn that into practical, non-preachy content:</w:t>
      </w:r>
    </w:p>
    <w:p w14:paraId="5CCE7B19" w14:textId="77777777" w:rsidR="0013291B" w:rsidRPr="00ED1F89" w:rsidRDefault="0013291B" w:rsidP="0013291B">
      <w:pPr>
        <w:rPr>
          <w:sz w:val="20"/>
          <w:szCs w:val="20"/>
        </w:rPr>
      </w:pPr>
      <w:r w:rsidRPr="00ED1F89">
        <w:rPr>
          <w:b/>
          <w:bCs/>
          <w:sz w:val="20"/>
          <w:szCs w:val="20"/>
        </w:rPr>
        <w:t>Before You Leave the Dock:</w:t>
      </w:r>
      <w:r w:rsidRPr="00ED1F89">
        <w:rPr>
          <w:sz w:val="20"/>
          <w:szCs w:val="20"/>
        </w:rPr>
        <w:t xml:space="preserve"> weather, float plan, fuel, battery, bilge, VHF, life jackets, navigation lights, fire extinguisher, anchor, first aid, phone backup.</w:t>
      </w:r>
      <w:r w:rsidRPr="00ED1F89">
        <w:rPr>
          <w:sz w:val="20"/>
          <w:szCs w:val="20"/>
        </w:rPr>
        <w:br/>
      </w:r>
      <w:r w:rsidRPr="00ED1F89">
        <w:rPr>
          <w:b/>
          <w:bCs/>
          <w:sz w:val="20"/>
          <w:szCs w:val="20"/>
        </w:rPr>
        <w:t>Rules of the Road:</w:t>
      </w:r>
      <w:r w:rsidRPr="00ED1F89">
        <w:rPr>
          <w:sz w:val="20"/>
          <w:szCs w:val="20"/>
        </w:rPr>
        <w:t xml:space="preserve"> crossing, overtaking, meeting head-on, narrow channels, no-wake zones, right-of-way misunderstandings.</w:t>
      </w:r>
      <w:r w:rsidRPr="00ED1F89">
        <w:rPr>
          <w:sz w:val="20"/>
          <w:szCs w:val="20"/>
        </w:rPr>
        <w:br/>
      </w:r>
      <w:r w:rsidRPr="00ED1F89">
        <w:rPr>
          <w:b/>
          <w:bCs/>
          <w:sz w:val="20"/>
          <w:szCs w:val="20"/>
        </w:rPr>
        <w:t>Weather for Beginners:</w:t>
      </w:r>
      <w:r w:rsidRPr="00ED1F89">
        <w:rPr>
          <w:sz w:val="20"/>
          <w:szCs w:val="20"/>
        </w:rPr>
        <w:t xml:space="preserve"> sea breeze, thunderstorms, squall lines, lightning, fog, tide against wind, inlet danger.</w:t>
      </w:r>
      <w:r w:rsidRPr="00ED1F89">
        <w:rPr>
          <w:sz w:val="20"/>
          <w:szCs w:val="20"/>
        </w:rPr>
        <w:br/>
      </w:r>
      <w:r w:rsidRPr="00ED1F89">
        <w:rPr>
          <w:b/>
          <w:bCs/>
          <w:sz w:val="20"/>
          <w:szCs w:val="20"/>
        </w:rPr>
        <w:t>Electronics Are Not Seamanship:</w:t>
      </w:r>
      <w:r w:rsidRPr="00ED1F89">
        <w:rPr>
          <w:sz w:val="20"/>
          <w:szCs w:val="20"/>
        </w:rPr>
        <w:t xml:space="preserve"> GPS is useful, but it does not replace lookout, charts, compass awareness, depth understanding, or common sense.</w:t>
      </w:r>
      <w:r w:rsidRPr="00ED1F89">
        <w:rPr>
          <w:sz w:val="20"/>
          <w:szCs w:val="20"/>
        </w:rPr>
        <w:br/>
      </w:r>
      <w:r w:rsidRPr="00ED1F89">
        <w:rPr>
          <w:b/>
          <w:bCs/>
          <w:sz w:val="20"/>
          <w:szCs w:val="20"/>
        </w:rPr>
        <w:t>Alcohol and Boating:</w:t>
      </w:r>
      <w:r w:rsidRPr="00ED1F89">
        <w:rPr>
          <w:sz w:val="20"/>
          <w:szCs w:val="20"/>
        </w:rPr>
        <w:t xml:space="preserve"> say it plainly — alcohol and inexperienced boating are a bad combination.</w:t>
      </w:r>
      <w:r w:rsidRPr="00ED1F89">
        <w:rPr>
          <w:sz w:val="20"/>
          <w:szCs w:val="20"/>
        </w:rPr>
        <w:br/>
      </w:r>
      <w:r w:rsidRPr="00ED1F89">
        <w:rPr>
          <w:b/>
          <w:bCs/>
          <w:sz w:val="20"/>
          <w:szCs w:val="20"/>
        </w:rPr>
        <w:lastRenderedPageBreak/>
        <w:t>What to Do When Things Go Wrong:</w:t>
      </w:r>
      <w:r w:rsidRPr="00ED1F89">
        <w:rPr>
          <w:sz w:val="20"/>
          <w:szCs w:val="20"/>
        </w:rPr>
        <w:t xml:space="preserve"> engine failure, grounding, taking on water, person overboard, medical emergency, lost communications.</w:t>
      </w:r>
    </w:p>
    <w:p w14:paraId="78554C30" w14:textId="77777777" w:rsidR="0013291B" w:rsidRPr="00ED1F89" w:rsidRDefault="0013291B" w:rsidP="0013291B">
      <w:pPr>
        <w:rPr>
          <w:sz w:val="20"/>
          <w:szCs w:val="20"/>
        </w:rPr>
      </w:pPr>
      <w:r w:rsidRPr="00ED1F89">
        <w:rPr>
          <w:sz w:val="20"/>
          <w:szCs w:val="20"/>
        </w:rPr>
        <w:t>This section can be lighter in presentation but serious in value. It can save lives, build trust, and position Horizon Watch as practical rather than just theoretical.</w:t>
      </w:r>
    </w:p>
    <w:p w14:paraId="7B58D308" w14:textId="77777777" w:rsidR="0013291B" w:rsidRPr="00ED1F89" w:rsidRDefault="00000000" w:rsidP="0013291B">
      <w:pPr>
        <w:rPr>
          <w:sz w:val="20"/>
          <w:szCs w:val="20"/>
        </w:rPr>
      </w:pPr>
      <w:r w:rsidRPr="00ED1F89">
        <w:rPr>
          <w:sz w:val="20"/>
          <w:szCs w:val="20"/>
        </w:rPr>
        <w:pict w14:anchorId="039C9B33">
          <v:rect id="_x0000_i1035" style="width:0;height:1.5pt" o:hralign="center" o:hrstd="t" o:hr="t" fillcolor="#a0a0a0" stroked="f"/>
        </w:pict>
      </w:r>
    </w:p>
    <w:p w14:paraId="19A4D504" w14:textId="77777777" w:rsidR="0013291B" w:rsidRPr="00ED1F89" w:rsidRDefault="0013291B" w:rsidP="0013291B">
      <w:pPr>
        <w:rPr>
          <w:b/>
          <w:bCs/>
          <w:sz w:val="20"/>
          <w:szCs w:val="20"/>
        </w:rPr>
      </w:pPr>
      <w:r w:rsidRPr="00ED1F89">
        <w:rPr>
          <w:b/>
          <w:bCs/>
          <w:sz w:val="20"/>
          <w:szCs w:val="20"/>
        </w:rPr>
        <w:t>Additional Sections That Would Strengthen Horizon Watch</w:t>
      </w:r>
    </w:p>
    <w:p w14:paraId="638CBEB6" w14:textId="77777777" w:rsidR="0013291B" w:rsidRPr="00ED1F89" w:rsidRDefault="0013291B" w:rsidP="0013291B">
      <w:pPr>
        <w:rPr>
          <w:b/>
          <w:bCs/>
          <w:sz w:val="20"/>
          <w:szCs w:val="20"/>
        </w:rPr>
      </w:pPr>
      <w:r w:rsidRPr="00ED1F89">
        <w:rPr>
          <w:b/>
          <w:bCs/>
          <w:sz w:val="20"/>
          <w:szCs w:val="20"/>
        </w:rPr>
        <w:t>11. Hurricane and Coastal Risk Watch</w:t>
      </w:r>
    </w:p>
    <w:p w14:paraId="297D382A" w14:textId="77777777" w:rsidR="0013291B" w:rsidRPr="00ED1F89" w:rsidRDefault="0013291B" w:rsidP="0013291B">
      <w:pPr>
        <w:rPr>
          <w:sz w:val="20"/>
          <w:szCs w:val="20"/>
        </w:rPr>
      </w:pPr>
      <w:r w:rsidRPr="00ED1F89">
        <w:rPr>
          <w:sz w:val="20"/>
          <w:szCs w:val="20"/>
        </w:rPr>
        <w:t>Because Horizon Watch is tied to Florida, the Gulf Coast, boating, and coastal life, hurricane season should be a recurring feature. NOAA’s 2026 Atlantic hurricane outlook predicted a below-normal season overall, with a 55% chance of below-normal activity, but NOAA still emphasized that it only takes one storm to make a bad season. (</w:t>
      </w:r>
      <w:hyperlink r:id="rId36" w:tooltip="NOAA predicts below-normal 2026 Atlantic hurricane season | National Oceanic and Atmospheric Administration" w:history="1">
        <w:r w:rsidRPr="00ED1F89">
          <w:rPr>
            <w:rStyle w:val="Hyperlink"/>
            <w:sz w:val="20"/>
            <w:szCs w:val="20"/>
          </w:rPr>
          <w:t>NOAA</w:t>
        </w:r>
      </w:hyperlink>
      <w:r w:rsidRPr="00ED1F89">
        <w:rPr>
          <w:sz w:val="20"/>
          <w:szCs w:val="20"/>
        </w:rPr>
        <w:t>) That is a perfect Horizon Watch message: seasonal averages do not protect your dock, your boat, your family, or your business.</w:t>
      </w:r>
    </w:p>
    <w:p w14:paraId="43E07A40" w14:textId="77777777" w:rsidR="0013291B" w:rsidRPr="00ED1F89" w:rsidRDefault="0013291B" w:rsidP="0013291B">
      <w:pPr>
        <w:rPr>
          <w:sz w:val="20"/>
          <w:szCs w:val="20"/>
        </w:rPr>
      </w:pPr>
      <w:r w:rsidRPr="00ED1F89">
        <w:rPr>
          <w:sz w:val="20"/>
          <w:szCs w:val="20"/>
        </w:rPr>
        <w:t>Coverage could include storm preparation, haul-out decisions, marina planning, generator readiness, insurance realities, evacuation routes, storm surge, post-storm scams, and lessons from past hurricanes.</w:t>
      </w:r>
    </w:p>
    <w:p w14:paraId="15BEBEAC" w14:textId="77777777" w:rsidR="0013291B" w:rsidRPr="00ED1F89" w:rsidRDefault="0013291B" w:rsidP="0013291B">
      <w:pPr>
        <w:rPr>
          <w:b/>
          <w:bCs/>
          <w:sz w:val="20"/>
          <w:szCs w:val="20"/>
        </w:rPr>
      </w:pPr>
      <w:r w:rsidRPr="00ED1F89">
        <w:rPr>
          <w:b/>
          <w:bCs/>
          <w:sz w:val="20"/>
          <w:szCs w:val="20"/>
        </w:rPr>
        <w:t>12. “What We Know / What We Don’t Know” Format</w:t>
      </w:r>
    </w:p>
    <w:p w14:paraId="51A582A8" w14:textId="77777777" w:rsidR="0013291B" w:rsidRPr="00ED1F89" w:rsidRDefault="0013291B" w:rsidP="0013291B">
      <w:pPr>
        <w:rPr>
          <w:sz w:val="20"/>
          <w:szCs w:val="20"/>
        </w:rPr>
      </w:pPr>
      <w:r w:rsidRPr="00ED1F89">
        <w:rPr>
          <w:sz w:val="20"/>
          <w:szCs w:val="20"/>
        </w:rPr>
        <w:t>This should become a Horizon Watch signature. Every serious topic can be broken down into:</w:t>
      </w:r>
    </w:p>
    <w:p w14:paraId="55924D62" w14:textId="77777777" w:rsidR="0013291B" w:rsidRPr="00ED1F89" w:rsidRDefault="0013291B" w:rsidP="0013291B">
      <w:pPr>
        <w:rPr>
          <w:sz w:val="20"/>
          <w:szCs w:val="20"/>
        </w:rPr>
      </w:pPr>
      <w:r w:rsidRPr="00ED1F89">
        <w:rPr>
          <w:b/>
          <w:bCs/>
          <w:sz w:val="20"/>
          <w:szCs w:val="20"/>
        </w:rPr>
        <w:t>What we know.</w:t>
      </w:r>
      <w:r w:rsidRPr="00ED1F89">
        <w:rPr>
          <w:sz w:val="20"/>
          <w:szCs w:val="20"/>
        </w:rPr>
        <w:br/>
      </w:r>
      <w:r w:rsidRPr="00ED1F89">
        <w:rPr>
          <w:b/>
          <w:bCs/>
          <w:sz w:val="20"/>
          <w:szCs w:val="20"/>
        </w:rPr>
        <w:t>What we suspect.</w:t>
      </w:r>
      <w:r w:rsidRPr="00ED1F89">
        <w:rPr>
          <w:sz w:val="20"/>
          <w:szCs w:val="20"/>
        </w:rPr>
        <w:br/>
      </w:r>
      <w:r w:rsidRPr="00ED1F89">
        <w:rPr>
          <w:b/>
          <w:bCs/>
          <w:sz w:val="20"/>
          <w:szCs w:val="20"/>
        </w:rPr>
        <w:t>What is disputed.</w:t>
      </w:r>
      <w:r w:rsidRPr="00ED1F89">
        <w:rPr>
          <w:sz w:val="20"/>
          <w:szCs w:val="20"/>
        </w:rPr>
        <w:br/>
      </w:r>
      <w:r w:rsidRPr="00ED1F89">
        <w:rPr>
          <w:b/>
          <w:bCs/>
          <w:sz w:val="20"/>
          <w:szCs w:val="20"/>
        </w:rPr>
        <w:t>What would change our mind.</w:t>
      </w:r>
      <w:r w:rsidRPr="00ED1F89">
        <w:rPr>
          <w:sz w:val="20"/>
          <w:szCs w:val="20"/>
        </w:rPr>
        <w:br/>
      </w:r>
      <w:r w:rsidRPr="00ED1F89">
        <w:rPr>
          <w:b/>
          <w:bCs/>
          <w:sz w:val="20"/>
          <w:szCs w:val="20"/>
        </w:rPr>
        <w:t>Worst-case scenario.</w:t>
      </w:r>
      <w:r w:rsidRPr="00ED1F89">
        <w:rPr>
          <w:sz w:val="20"/>
          <w:szCs w:val="20"/>
        </w:rPr>
        <w:br/>
      </w:r>
      <w:r w:rsidRPr="00ED1F89">
        <w:rPr>
          <w:b/>
          <w:bCs/>
          <w:sz w:val="20"/>
          <w:szCs w:val="20"/>
        </w:rPr>
        <w:t>Practical preparation.</w:t>
      </w:r>
    </w:p>
    <w:p w14:paraId="68AF8715" w14:textId="77777777" w:rsidR="0013291B" w:rsidRPr="00ED1F89" w:rsidRDefault="0013291B" w:rsidP="0013291B">
      <w:pPr>
        <w:rPr>
          <w:sz w:val="20"/>
          <w:szCs w:val="20"/>
        </w:rPr>
      </w:pPr>
      <w:r w:rsidRPr="00ED1F89">
        <w:rPr>
          <w:sz w:val="20"/>
          <w:szCs w:val="20"/>
        </w:rPr>
        <w:t>That format gives the brand credibility because it does not pretend uncertainty is weakness. In real operations, uncertainty is part of the job.</w:t>
      </w:r>
    </w:p>
    <w:p w14:paraId="30DE32B5" w14:textId="77777777" w:rsidR="0013291B" w:rsidRPr="00ED1F89" w:rsidRDefault="0013291B" w:rsidP="0013291B">
      <w:pPr>
        <w:rPr>
          <w:b/>
          <w:bCs/>
          <w:sz w:val="20"/>
          <w:szCs w:val="20"/>
        </w:rPr>
      </w:pPr>
      <w:r w:rsidRPr="00ED1F89">
        <w:rPr>
          <w:b/>
          <w:bCs/>
          <w:sz w:val="20"/>
          <w:szCs w:val="20"/>
        </w:rPr>
        <w:t>13. The Horizon Watch Standard</w:t>
      </w:r>
    </w:p>
    <w:p w14:paraId="574C09D1" w14:textId="77777777" w:rsidR="0013291B" w:rsidRPr="00ED1F89" w:rsidRDefault="0013291B" w:rsidP="0013291B">
      <w:pPr>
        <w:rPr>
          <w:sz w:val="20"/>
          <w:szCs w:val="20"/>
        </w:rPr>
      </w:pPr>
      <w:r w:rsidRPr="00ED1F89">
        <w:rPr>
          <w:sz w:val="20"/>
          <w:szCs w:val="20"/>
        </w:rPr>
        <w:t>Horizon Watch should stand for:</w:t>
      </w:r>
    </w:p>
    <w:p w14:paraId="1B217C62" w14:textId="77777777" w:rsidR="0013291B" w:rsidRPr="00ED1F89" w:rsidRDefault="0013291B" w:rsidP="0013291B">
      <w:pPr>
        <w:rPr>
          <w:sz w:val="20"/>
          <w:szCs w:val="20"/>
        </w:rPr>
      </w:pPr>
      <w:r w:rsidRPr="00ED1F89">
        <w:rPr>
          <w:b/>
          <w:bCs/>
          <w:sz w:val="20"/>
          <w:szCs w:val="20"/>
        </w:rPr>
        <w:t>Evidence over ideology.</w:t>
      </w:r>
      <w:r w:rsidRPr="00ED1F89">
        <w:rPr>
          <w:sz w:val="20"/>
          <w:szCs w:val="20"/>
        </w:rPr>
        <w:br/>
      </w:r>
      <w:r w:rsidRPr="00ED1F89">
        <w:rPr>
          <w:b/>
          <w:bCs/>
          <w:sz w:val="20"/>
          <w:szCs w:val="20"/>
        </w:rPr>
        <w:t>Preparedness over panic.</w:t>
      </w:r>
      <w:r w:rsidRPr="00ED1F89">
        <w:rPr>
          <w:sz w:val="20"/>
          <w:szCs w:val="20"/>
        </w:rPr>
        <w:br/>
      </w:r>
      <w:r w:rsidRPr="00ED1F89">
        <w:rPr>
          <w:b/>
          <w:bCs/>
          <w:sz w:val="20"/>
          <w:szCs w:val="20"/>
        </w:rPr>
        <w:t>Curiosity over censorship.</w:t>
      </w:r>
      <w:r w:rsidRPr="00ED1F89">
        <w:rPr>
          <w:sz w:val="20"/>
          <w:szCs w:val="20"/>
        </w:rPr>
        <w:br/>
      </w:r>
      <w:r w:rsidRPr="00ED1F89">
        <w:rPr>
          <w:b/>
          <w:bCs/>
          <w:sz w:val="20"/>
          <w:szCs w:val="20"/>
        </w:rPr>
        <w:t>Worst-case planning without doom addiction.</w:t>
      </w:r>
      <w:r w:rsidRPr="00ED1F89">
        <w:rPr>
          <w:sz w:val="20"/>
          <w:szCs w:val="20"/>
        </w:rPr>
        <w:br/>
      </w:r>
      <w:r w:rsidRPr="00ED1F89">
        <w:rPr>
          <w:b/>
          <w:bCs/>
          <w:sz w:val="20"/>
          <w:szCs w:val="20"/>
        </w:rPr>
        <w:t>Respect for natural cycles and honest science.</w:t>
      </w:r>
      <w:r w:rsidRPr="00ED1F89">
        <w:rPr>
          <w:sz w:val="20"/>
          <w:szCs w:val="20"/>
        </w:rPr>
        <w:br/>
      </w:r>
      <w:r w:rsidRPr="00ED1F89">
        <w:rPr>
          <w:b/>
          <w:bCs/>
          <w:sz w:val="20"/>
          <w:szCs w:val="20"/>
        </w:rPr>
        <w:t>Adventure with seamanship.</w:t>
      </w:r>
      <w:r w:rsidRPr="00ED1F89">
        <w:rPr>
          <w:sz w:val="20"/>
          <w:szCs w:val="20"/>
        </w:rPr>
        <w:br/>
      </w:r>
      <w:r w:rsidRPr="00ED1F89">
        <w:rPr>
          <w:b/>
          <w:bCs/>
          <w:sz w:val="20"/>
          <w:szCs w:val="20"/>
        </w:rPr>
        <w:t>A captain’s eye on a changing world.</w:t>
      </w:r>
    </w:p>
    <w:p w14:paraId="6EAD6CD4" w14:textId="77777777" w:rsidR="0013291B" w:rsidRPr="00ED1F89" w:rsidRDefault="00000000" w:rsidP="0013291B">
      <w:pPr>
        <w:rPr>
          <w:sz w:val="20"/>
          <w:szCs w:val="20"/>
        </w:rPr>
      </w:pPr>
      <w:r w:rsidRPr="00ED1F89">
        <w:rPr>
          <w:sz w:val="20"/>
          <w:szCs w:val="20"/>
        </w:rPr>
        <w:pict w14:anchorId="29FA9DB7">
          <v:rect id="_x0000_i1036" style="width:0;height:1.5pt" o:hralign="center" o:hrstd="t" o:hr="t" fillcolor="#a0a0a0" stroked="f"/>
        </w:pict>
      </w:r>
    </w:p>
    <w:p w14:paraId="0E34E7D2" w14:textId="77777777" w:rsidR="0013291B" w:rsidRPr="00ED1F89" w:rsidRDefault="0013291B" w:rsidP="0013291B">
      <w:pPr>
        <w:rPr>
          <w:b/>
          <w:bCs/>
          <w:sz w:val="20"/>
          <w:szCs w:val="20"/>
        </w:rPr>
      </w:pPr>
      <w:r w:rsidRPr="00ED1F89">
        <w:rPr>
          <w:b/>
          <w:bCs/>
          <w:sz w:val="20"/>
          <w:szCs w:val="20"/>
        </w:rPr>
        <w:t>Closing Statement</w:t>
      </w:r>
    </w:p>
    <w:p w14:paraId="1EAE1EDC" w14:textId="77777777" w:rsidR="0013291B" w:rsidRPr="00ED1F89" w:rsidRDefault="0013291B" w:rsidP="0013291B">
      <w:pPr>
        <w:rPr>
          <w:sz w:val="20"/>
          <w:szCs w:val="20"/>
        </w:rPr>
      </w:pPr>
      <w:r w:rsidRPr="00ED1F89">
        <w:rPr>
          <w:sz w:val="20"/>
          <w:szCs w:val="20"/>
        </w:rPr>
        <w:lastRenderedPageBreak/>
        <w:t>Horizon Watch should be built like a good bridge watch: alert, calm, skeptical, prepared, and always scanning beyond the obvious. The world does not need another fear channel. It does not need another political climate channel. It needs a platform willing to look at solar events, AMOC, WAIS, magnetic drift, natural cycles, climate incentives, coastal risk, and maritime life with clear eyes.</w:t>
      </w:r>
    </w:p>
    <w:p w14:paraId="18E2A0E9" w14:textId="77777777" w:rsidR="0013291B" w:rsidRPr="00ED1F89" w:rsidRDefault="0013291B" w:rsidP="0013291B">
      <w:pPr>
        <w:rPr>
          <w:sz w:val="20"/>
          <w:szCs w:val="20"/>
        </w:rPr>
      </w:pPr>
      <w:r w:rsidRPr="00ED1F89">
        <w:rPr>
          <w:sz w:val="20"/>
          <w:szCs w:val="20"/>
        </w:rPr>
        <w:t>The guiding principle is simple:</w:t>
      </w:r>
    </w:p>
    <w:p w14:paraId="4943CCF5" w14:textId="77777777" w:rsidR="0013291B" w:rsidRPr="00ED1F89" w:rsidRDefault="0013291B" w:rsidP="0013291B">
      <w:pPr>
        <w:rPr>
          <w:sz w:val="20"/>
          <w:szCs w:val="20"/>
        </w:rPr>
      </w:pPr>
      <w:r w:rsidRPr="00ED1F89">
        <w:rPr>
          <w:b/>
          <w:bCs/>
          <w:sz w:val="20"/>
          <w:szCs w:val="20"/>
        </w:rPr>
        <w:t>Prepare for the worst. Hope for the best. Keep watch on the horizon.</w:t>
      </w:r>
    </w:p>
    <w:p w14:paraId="3A8E7547" w14:textId="77777777" w:rsidR="0013291B" w:rsidRPr="00ED1F89" w:rsidRDefault="0013291B">
      <w:pPr>
        <w:rPr>
          <w:sz w:val="20"/>
          <w:szCs w:val="20"/>
        </w:rPr>
      </w:pPr>
    </w:p>
    <w:sectPr w:rsidR="0013291B" w:rsidRPr="00ED1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1B"/>
    <w:rsid w:val="00064F06"/>
    <w:rsid w:val="0013291B"/>
    <w:rsid w:val="00186BF3"/>
    <w:rsid w:val="004764E6"/>
    <w:rsid w:val="00D87DCD"/>
    <w:rsid w:val="00ED1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A2A9"/>
  <w15:chartTrackingRefBased/>
  <w15:docId w15:val="{CEDE6E36-E1D0-42A6-9946-21B42848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9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9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9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9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9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9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9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9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9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9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9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9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91B"/>
    <w:rPr>
      <w:rFonts w:eastAsiaTheme="majorEastAsia" w:cstheme="majorBidi"/>
      <w:color w:val="272727" w:themeColor="text1" w:themeTint="D8"/>
    </w:rPr>
  </w:style>
  <w:style w:type="paragraph" w:styleId="Title">
    <w:name w:val="Title"/>
    <w:basedOn w:val="Normal"/>
    <w:next w:val="Normal"/>
    <w:link w:val="TitleChar"/>
    <w:uiPriority w:val="10"/>
    <w:qFormat/>
    <w:rsid w:val="001329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9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91B"/>
    <w:pPr>
      <w:spacing w:before="160"/>
      <w:jc w:val="center"/>
    </w:pPr>
    <w:rPr>
      <w:i/>
      <w:iCs/>
      <w:color w:val="404040" w:themeColor="text1" w:themeTint="BF"/>
    </w:rPr>
  </w:style>
  <w:style w:type="character" w:customStyle="1" w:styleId="QuoteChar">
    <w:name w:val="Quote Char"/>
    <w:basedOn w:val="DefaultParagraphFont"/>
    <w:link w:val="Quote"/>
    <w:uiPriority w:val="29"/>
    <w:rsid w:val="0013291B"/>
    <w:rPr>
      <w:i/>
      <w:iCs/>
      <w:color w:val="404040" w:themeColor="text1" w:themeTint="BF"/>
    </w:rPr>
  </w:style>
  <w:style w:type="paragraph" w:styleId="ListParagraph">
    <w:name w:val="List Paragraph"/>
    <w:basedOn w:val="Normal"/>
    <w:uiPriority w:val="34"/>
    <w:qFormat/>
    <w:rsid w:val="0013291B"/>
    <w:pPr>
      <w:ind w:left="720"/>
      <w:contextualSpacing/>
    </w:pPr>
  </w:style>
  <w:style w:type="character" w:styleId="IntenseEmphasis">
    <w:name w:val="Intense Emphasis"/>
    <w:basedOn w:val="DefaultParagraphFont"/>
    <w:uiPriority w:val="21"/>
    <w:qFormat/>
    <w:rsid w:val="0013291B"/>
    <w:rPr>
      <w:i/>
      <w:iCs/>
      <w:color w:val="0F4761" w:themeColor="accent1" w:themeShade="BF"/>
    </w:rPr>
  </w:style>
  <w:style w:type="paragraph" w:styleId="IntenseQuote">
    <w:name w:val="Intense Quote"/>
    <w:basedOn w:val="Normal"/>
    <w:next w:val="Normal"/>
    <w:link w:val="IntenseQuoteChar"/>
    <w:uiPriority w:val="30"/>
    <w:qFormat/>
    <w:rsid w:val="00132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91B"/>
    <w:rPr>
      <w:i/>
      <w:iCs/>
      <w:color w:val="0F4761" w:themeColor="accent1" w:themeShade="BF"/>
    </w:rPr>
  </w:style>
  <w:style w:type="character" w:styleId="IntenseReference">
    <w:name w:val="Intense Reference"/>
    <w:basedOn w:val="DefaultParagraphFont"/>
    <w:uiPriority w:val="32"/>
    <w:qFormat/>
    <w:rsid w:val="0013291B"/>
    <w:rPr>
      <w:b/>
      <w:bCs/>
      <w:smallCaps/>
      <w:color w:val="0F4761" w:themeColor="accent1" w:themeShade="BF"/>
      <w:spacing w:val="5"/>
    </w:rPr>
  </w:style>
  <w:style w:type="character" w:styleId="Hyperlink">
    <w:name w:val="Hyperlink"/>
    <w:basedOn w:val="DefaultParagraphFont"/>
    <w:uiPriority w:val="99"/>
    <w:unhideWhenUsed/>
    <w:rsid w:val="0013291B"/>
    <w:rPr>
      <w:color w:val="467886" w:themeColor="hyperlink"/>
      <w:u w:val="single"/>
    </w:rPr>
  </w:style>
  <w:style w:type="character" w:styleId="UnresolvedMention">
    <w:name w:val="Unresolved Mention"/>
    <w:basedOn w:val="DefaultParagraphFont"/>
    <w:uiPriority w:val="99"/>
    <w:semiHidden/>
    <w:unhideWhenUsed/>
    <w:rsid w:val="00132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waitesglacier.org/" TargetMode="External"/><Relationship Id="rId18" Type="http://schemas.openxmlformats.org/officeDocument/2006/relationships/hyperlink" Target="https://www.ncei.noaa.gov/news/2025-wmm-annual-report-released?utm_source=chatgpt.com" TargetMode="External"/><Relationship Id="rId26" Type="http://schemas.openxmlformats.org/officeDocument/2006/relationships/hyperlink" Target="https://baypointbillfishopen.com/" TargetMode="External"/><Relationship Id="rId21" Type="http://schemas.openxmlformats.org/officeDocument/2006/relationships/hyperlink" Target="https://science.nasa.gov/climate-change/causes/?utm_source=chatgpt.com" TargetMode="External"/><Relationship Id="rId34" Type="http://schemas.openxmlformats.org/officeDocument/2006/relationships/hyperlink" Target="https://www.fisheries.noaa.gov/feature-story/celebrate-national-fishing-and-boating-week" TargetMode="External"/><Relationship Id="rId7" Type="http://schemas.openxmlformats.org/officeDocument/2006/relationships/hyperlink" Target="https://www.noaa.gov/news-release/noaas-solar-1-enters-new-era-of-space-weather-monitoring?utm_source=chatgpt.com" TargetMode="External"/><Relationship Id="rId12" Type="http://schemas.openxmlformats.org/officeDocument/2006/relationships/hyperlink" Target="https://interactive.carbonbrief.org/amoc-explainer/index.html" TargetMode="External"/><Relationship Id="rId17" Type="http://schemas.openxmlformats.org/officeDocument/2006/relationships/hyperlink" Target="https://www.ncei.noaa.gov/products/world-magnetic-model" TargetMode="External"/><Relationship Id="rId25" Type="http://schemas.openxmlformats.org/officeDocument/2006/relationships/hyperlink" Target="https://www.imf.org/en/topics/climate-change/energy-subsidies" TargetMode="External"/><Relationship Id="rId33" Type="http://schemas.openxmlformats.org/officeDocument/2006/relationships/hyperlink" Target="https://billfish.org/tournaments/"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oast.noaa.gov/slr/" TargetMode="External"/><Relationship Id="rId20" Type="http://schemas.openxmlformats.org/officeDocument/2006/relationships/hyperlink" Target="https://www.ipcc.ch/report/ar6/syr/resources/spm-headline-statements/?utm_source=chatgpt.com" TargetMode="External"/><Relationship Id="rId29" Type="http://schemas.openxmlformats.org/officeDocument/2006/relationships/hyperlink" Target="https://billfish.org/tournaments/" TargetMode="External"/><Relationship Id="rId1" Type="http://schemas.openxmlformats.org/officeDocument/2006/relationships/styles" Target="styles.xml"/><Relationship Id="rId6" Type="http://schemas.openxmlformats.org/officeDocument/2006/relationships/hyperlink" Target="https://www.swpc.noaa.gov/content/space-weather-faq-frequently-asked-questions" TargetMode="External"/><Relationship Id="rId11" Type="http://schemas.openxmlformats.org/officeDocument/2006/relationships/hyperlink" Target="https://interactive.carbonbrief.org/amoc-explainer/index.html" TargetMode="External"/><Relationship Id="rId24" Type="http://schemas.openxmlformats.org/officeDocument/2006/relationships/hyperlink" Target="https://www.oecd.org/en/about/news/press-releases/2026/05/developed-countries-exceed-usd-100-billion-climate-finance-goal-for-third-consecutive-year.html" TargetMode="External"/><Relationship Id="rId32" Type="http://schemas.openxmlformats.org/officeDocument/2006/relationships/hyperlink" Target="https://billfish.org/tournaments/" TargetMode="External"/><Relationship Id="rId37" Type="http://schemas.openxmlformats.org/officeDocument/2006/relationships/fontTable" Target="fontTable.xml"/><Relationship Id="rId5" Type="http://schemas.openxmlformats.org/officeDocument/2006/relationships/hyperlink" Target="https://www.spaceweather.gov/noaa-scales-explanation" TargetMode="External"/><Relationship Id="rId15" Type="http://schemas.openxmlformats.org/officeDocument/2006/relationships/hyperlink" Target="https://svs.gsfc.nasa.gov/31158/" TargetMode="External"/><Relationship Id="rId23" Type="http://schemas.openxmlformats.org/officeDocument/2006/relationships/hyperlink" Target="https://www.worldbank.org/en/publication/state-and-trends-of-carbon-pricing" TargetMode="External"/><Relationship Id="rId28" Type="http://schemas.openxmlformats.org/officeDocument/2006/relationships/hyperlink" Target="https://billfish.org/tournaments/" TargetMode="External"/><Relationship Id="rId36" Type="http://schemas.openxmlformats.org/officeDocument/2006/relationships/hyperlink" Target="https://www.noaa.gov/news-release/noaa-predicts-below-normal-2026-atlantic-hurricane-season" TargetMode="External"/><Relationship Id="rId10" Type="http://schemas.openxmlformats.org/officeDocument/2006/relationships/hyperlink" Target="https://www.nature.com/articles/s41467-023-39810-w" TargetMode="External"/><Relationship Id="rId19" Type="http://schemas.openxmlformats.org/officeDocument/2006/relationships/hyperlink" Target="https://www.ncei.noaa.gov/products/world-magnetic-model" TargetMode="External"/><Relationship Id="rId31" Type="http://schemas.openxmlformats.org/officeDocument/2006/relationships/hyperlink" Target="https://billfish.org/tournaments/" TargetMode="External"/><Relationship Id="rId4" Type="http://schemas.openxmlformats.org/officeDocument/2006/relationships/hyperlink" Target="https://science.nasa.gov/science-research/heliophysics/nasa-noaa-sun-reaches-maximum-phase-in-11-year-solar-cycle/" TargetMode="External"/><Relationship Id="rId9" Type="http://schemas.openxmlformats.org/officeDocument/2006/relationships/hyperlink" Target="https://epoc-eu.org/amoc-collapse-public-spotlight/" TargetMode="External"/><Relationship Id="rId14" Type="http://schemas.openxmlformats.org/officeDocument/2006/relationships/hyperlink" Target="https://nsidc.org/our-research/featured-projects/international-thwaites-glacier-collaboration" TargetMode="External"/><Relationship Id="rId22" Type="http://schemas.openxmlformats.org/officeDocument/2006/relationships/hyperlink" Target="https://www.climatepolicyinitiative.org/resources/data-visualizations/global-landscape-of-climate-finance-data-dashboard/" TargetMode="External"/><Relationship Id="rId27" Type="http://schemas.openxmlformats.org/officeDocument/2006/relationships/hyperlink" Target="https://bluemarlingrandchampionship.com/" TargetMode="External"/><Relationship Id="rId30" Type="http://schemas.openxmlformats.org/officeDocument/2006/relationships/hyperlink" Target="https://billfish.org/tournaments/" TargetMode="External"/><Relationship Id="rId35" Type="http://schemas.openxmlformats.org/officeDocument/2006/relationships/hyperlink" Target="https://www.news.uscg.mil/Press-Releases/Article/4231745/coast-guard-reports-fewest-boating-fatalities-in-more-than-50-years/" TargetMode="External"/><Relationship Id="rId8" Type="http://schemas.openxmlformats.org/officeDocument/2006/relationships/hyperlink" Target="https://www.nesdis.noaa.gov/about/k-12-education/space-weather/what-was-the-carrington-event"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9</Pages>
  <Words>4481</Words>
  <Characters>25544</Characters>
  <Application>Microsoft Office Word</Application>
  <DocSecurity>0</DocSecurity>
  <Lines>212</Lines>
  <Paragraphs>59</Paragraphs>
  <ScaleCrop>false</ScaleCrop>
  <Company/>
  <LinksUpToDate>false</LinksUpToDate>
  <CharactersWithSpaces>29966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Green</dc:creator>
  <cp:keywords/>
  <dc:description/>
  <cp:lastModifiedBy>Rich Green</cp:lastModifiedBy>
  <cp:revision>4</cp:revision>
  <dcterms:created xsi:type="dcterms:W3CDTF">2026-07-18T17:22:00Z</dcterms:created>
  <dcterms:modified xsi:type="dcterms:W3CDTF">2026-07-18T21:18:00Z</dcterms:modified>
</cp:coreProperties>
</file>