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BBAFB" w14:textId="77777777" w:rsidR="00037328" w:rsidRDefault="00037328">
      <w:pPr>
        <w:spacing w:after="400"/>
      </w:pPr>
    </w:p>
    <w:p w14:paraId="4C712DD0" w14:textId="77777777" w:rsidR="00037328" w:rsidRDefault="00014970">
      <w:pPr>
        <w:spacing w:after="260"/>
        <w:jc w:val="center"/>
      </w:pPr>
      <w:r>
        <w:rPr>
          <w:b/>
          <w:bCs/>
          <w:color w:val="041E47"/>
        </w:rPr>
        <w:t>H O R I Z O N   W A T C H</w:t>
      </w:r>
    </w:p>
    <w:p w14:paraId="2CF75D81" w14:textId="77777777" w:rsidR="00037328" w:rsidRDefault="00014970">
      <w:pPr>
        <w:pBdr>
          <w:bottom w:val="single" w:sz="18" w:space="12" w:color="F5B800"/>
        </w:pBdr>
        <w:jc w:val="center"/>
      </w:pPr>
      <w:r>
        <w:rPr>
          <w:sz w:val="2"/>
          <w:szCs w:val="2"/>
        </w:rPr>
        <w:t xml:space="preserve"> </w:t>
      </w:r>
    </w:p>
    <w:p w14:paraId="28CAE8A5" w14:textId="77777777" w:rsidR="00037328" w:rsidRDefault="00014970">
      <w:pPr>
        <w:spacing w:before="500" w:after="500"/>
        <w:jc w:val="center"/>
      </w:pPr>
      <w:r>
        <w:rPr>
          <w:noProof/>
        </w:rPr>
        <w:drawing>
          <wp:inline distT="0" distB="0" distL="0" distR="0" wp14:anchorId="7C1DA058" wp14:editId="179D5D83">
            <wp:extent cx="1571625" cy="1571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571625" cy="1571625"/>
                    </a:xfrm>
                    <a:prstGeom prst="rect">
                      <a:avLst/>
                    </a:prstGeom>
                  </pic:spPr>
                </pic:pic>
              </a:graphicData>
            </a:graphic>
          </wp:inline>
        </w:drawing>
      </w:r>
    </w:p>
    <w:p w14:paraId="0B4BC00F" w14:textId="77777777" w:rsidR="00037328" w:rsidRDefault="00014970">
      <w:pPr>
        <w:spacing w:after="60"/>
        <w:jc w:val="center"/>
      </w:pPr>
      <w:r>
        <w:rPr>
          <w:b/>
          <w:bCs/>
          <w:color w:val="006CC5"/>
          <w:sz w:val="20"/>
          <w:szCs w:val="20"/>
        </w:rPr>
        <w:t>GEOPHYSICAL STATUS REPORT</w:t>
      </w:r>
    </w:p>
    <w:p w14:paraId="7413C92D" w14:textId="77777777" w:rsidR="00037328" w:rsidRDefault="00014970">
      <w:pPr>
        <w:spacing w:after="320"/>
        <w:jc w:val="center"/>
      </w:pPr>
      <w:r>
        <w:rPr>
          <w:b/>
          <w:bCs/>
          <w:color w:val="041E47"/>
          <w:sz w:val="52"/>
          <w:szCs w:val="52"/>
        </w:rPr>
        <w:t>200-Year Geophysical Status Report</w:t>
      </w:r>
    </w:p>
    <w:p w14:paraId="3619B95C" w14:textId="77777777" w:rsidR="00037328" w:rsidRDefault="00014970">
      <w:pPr>
        <w:spacing w:after="420"/>
        <w:jc w:val="center"/>
      </w:pPr>
      <w:r>
        <w:rPr>
          <w:i/>
          <w:iCs/>
          <w:color w:val="00A9EE"/>
          <w:sz w:val="28"/>
          <w:szCs w:val="28"/>
        </w:rPr>
        <w:t>Earth System Stability and Solar-Terrestrial Dynamics (1826–Present)</w:t>
      </w:r>
    </w:p>
    <w:p w14:paraId="13E8DB90" w14:textId="77777777" w:rsidR="00037328" w:rsidRDefault="00014970">
      <w:pPr>
        <w:pBdr>
          <w:bottom w:val="single" w:sz="12" w:space="12" w:color="F5B800"/>
        </w:pBdr>
        <w:spacing w:after="500"/>
        <w:jc w:val="center"/>
      </w:pPr>
      <w:r>
        <w:rPr>
          <w:sz w:val="2"/>
          <w:szCs w:val="2"/>
        </w:rPr>
        <w:t xml:space="preserve"> </w:t>
      </w:r>
    </w:p>
    <w:tbl>
      <w:tblPr>
        <w:tblW w:w="6200" w:type="dxa"/>
        <w:jc w:val="center"/>
        <w:tblBorders>
          <w:top w:val="single" w:sz="4" w:space="0" w:color="041E47"/>
          <w:left w:val="single" w:sz="4" w:space="0" w:color="041E47"/>
          <w:bottom w:val="single" w:sz="4" w:space="0" w:color="041E47"/>
          <w:right w:val="single" w:sz="4" w:space="0" w:color="041E47"/>
          <w:insideH w:val="single" w:sz="2" w:space="0" w:color="C9D6E3"/>
          <w:insideV w:val="none" w:sz="0" w:space="0" w:color="FFFFFF"/>
        </w:tblBorders>
        <w:tblCellMar>
          <w:left w:w="10" w:type="dxa"/>
          <w:right w:w="10" w:type="dxa"/>
        </w:tblCellMar>
        <w:tblLook w:val="04A0" w:firstRow="1" w:lastRow="0" w:firstColumn="1" w:lastColumn="0" w:noHBand="0" w:noVBand="1"/>
      </w:tblPr>
      <w:tblGrid>
        <w:gridCol w:w="2000"/>
        <w:gridCol w:w="4200"/>
      </w:tblGrid>
      <w:tr w:rsidR="00037328" w14:paraId="170495D5" w14:textId="77777777">
        <w:tblPrEx>
          <w:tblCellMar>
            <w:top w:w="0" w:type="dxa"/>
            <w:bottom w:w="0" w:type="dxa"/>
          </w:tblCellMar>
        </w:tblPrEx>
        <w:trPr>
          <w:jc w:val="center"/>
        </w:trPr>
        <w:tc>
          <w:tcPr>
            <w:tcW w:w="2000" w:type="dxa"/>
            <w:shd w:val="clear" w:color="auto" w:fill="041E47"/>
            <w:tcMar>
              <w:top w:w="120" w:type="dxa"/>
              <w:left w:w="160" w:type="dxa"/>
              <w:bottom w:w="120" w:type="dxa"/>
              <w:right w:w="120" w:type="dxa"/>
            </w:tcMar>
            <w:vAlign w:val="center"/>
          </w:tcPr>
          <w:p w14:paraId="673BCE52" w14:textId="77777777" w:rsidR="00037328" w:rsidRDefault="00014970">
            <w:r>
              <w:rPr>
                <w:b/>
                <w:bCs/>
                <w:color w:val="F5B800"/>
                <w:sz w:val="18"/>
                <w:szCs w:val="18"/>
              </w:rPr>
              <w:t>Prepared by</w:t>
            </w:r>
          </w:p>
        </w:tc>
        <w:tc>
          <w:tcPr>
            <w:tcW w:w="4200" w:type="dxa"/>
            <w:tcMar>
              <w:top w:w="120" w:type="dxa"/>
              <w:left w:w="160" w:type="dxa"/>
              <w:bottom w:w="120" w:type="dxa"/>
              <w:right w:w="120" w:type="dxa"/>
            </w:tcMar>
            <w:vAlign w:val="center"/>
          </w:tcPr>
          <w:p w14:paraId="7C6703AA" w14:textId="77777777" w:rsidR="00037328" w:rsidRDefault="00014970">
            <w:r>
              <w:rPr>
                <w:sz w:val="20"/>
                <w:szCs w:val="20"/>
              </w:rPr>
              <w:t>Horizon Watch — Geophysical Monitoring Desk</w:t>
            </w:r>
          </w:p>
        </w:tc>
      </w:tr>
      <w:tr w:rsidR="00037328" w14:paraId="33A69D96" w14:textId="77777777">
        <w:tblPrEx>
          <w:tblCellMar>
            <w:top w:w="0" w:type="dxa"/>
            <w:bottom w:w="0" w:type="dxa"/>
          </w:tblCellMar>
        </w:tblPrEx>
        <w:trPr>
          <w:jc w:val="center"/>
        </w:trPr>
        <w:tc>
          <w:tcPr>
            <w:tcW w:w="2000" w:type="dxa"/>
            <w:shd w:val="clear" w:color="auto" w:fill="041E47"/>
            <w:tcMar>
              <w:top w:w="120" w:type="dxa"/>
              <w:left w:w="160" w:type="dxa"/>
              <w:bottom w:w="120" w:type="dxa"/>
              <w:right w:w="120" w:type="dxa"/>
            </w:tcMar>
            <w:vAlign w:val="center"/>
          </w:tcPr>
          <w:p w14:paraId="25F4D6A2" w14:textId="77777777" w:rsidR="00037328" w:rsidRDefault="00014970">
            <w:r>
              <w:rPr>
                <w:b/>
                <w:bCs/>
                <w:color w:val="F5B800"/>
                <w:sz w:val="18"/>
                <w:szCs w:val="18"/>
              </w:rPr>
              <w:t>Report date</w:t>
            </w:r>
          </w:p>
        </w:tc>
        <w:tc>
          <w:tcPr>
            <w:tcW w:w="4200" w:type="dxa"/>
            <w:tcMar>
              <w:top w:w="120" w:type="dxa"/>
              <w:left w:w="160" w:type="dxa"/>
              <w:bottom w:w="120" w:type="dxa"/>
              <w:right w:w="120" w:type="dxa"/>
            </w:tcMar>
            <w:vAlign w:val="center"/>
          </w:tcPr>
          <w:p w14:paraId="3CDADEEA" w14:textId="77777777" w:rsidR="00037328" w:rsidRDefault="00014970">
            <w:r>
              <w:rPr>
                <w:sz w:val="20"/>
                <w:szCs w:val="20"/>
              </w:rPr>
              <w:t>August 19, 2026</w:t>
            </w:r>
          </w:p>
        </w:tc>
      </w:tr>
      <w:tr w:rsidR="00037328" w14:paraId="391FDA4F" w14:textId="77777777">
        <w:tblPrEx>
          <w:tblCellMar>
            <w:top w:w="0" w:type="dxa"/>
            <w:bottom w:w="0" w:type="dxa"/>
          </w:tblCellMar>
        </w:tblPrEx>
        <w:trPr>
          <w:jc w:val="center"/>
        </w:trPr>
        <w:tc>
          <w:tcPr>
            <w:tcW w:w="2000" w:type="dxa"/>
            <w:shd w:val="clear" w:color="auto" w:fill="041E47"/>
            <w:tcMar>
              <w:top w:w="120" w:type="dxa"/>
              <w:left w:w="160" w:type="dxa"/>
              <w:bottom w:w="120" w:type="dxa"/>
              <w:right w:w="120" w:type="dxa"/>
            </w:tcMar>
            <w:vAlign w:val="center"/>
          </w:tcPr>
          <w:p w14:paraId="19F85085" w14:textId="77777777" w:rsidR="00037328" w:rsidRDefault="00014970">
            <w:r>
              <w:rPr>
                <w:b/>
                <w:bCs/>
                <w:color w:val="F5B800"/>
                <w:sz w:val="18"/>
                <w:szCs w:val="18"/>
              </w:rPr>
              <w:t>Coverage window</w:t>
            </w:r>
          </w:p>
        </w:tc>
        <w:tc>
          <w:tcPr>
            <w:tcW w:w="4200" w:type="dxa"/>
            <w:tcMar>
              <w:top w:w="120" w:type="dxa"/>
              <w:left w:w="160" w:type="dxa"/>
              <w:bottom w:w="120" w:type="dxa"/>
              <w:right w:w="120" w:type="dxa"/>
            </w:tcMar>
            <w:vAlign w:val="center"/>
          </w:tcPr>
          <w:p w14:paraId="6635CDAA" w14:textId="77777777" w:rsidR="00037328" w:rsidRDefault="00014970">
            <w:r>
              <w:rPr>
                <w:sz w:val="20"/>
                <w:szCs w:val="20"/>
              </w:rPr>
              <w:t>1826 – Present (200-year record)</w:t>
            </w:r>
          </w:p>
        </w:tc>
      </w:tr>
      <w:tr w:rsidR="00037328" w14:paraId="754C17B1" w14:textId="77777777">
        <w:tblPrEx>
          <w:tblCellMar>
            <w:top w:w="0" w:type="dxa"/>
            <w:bottom w:w="0" w:type="dxa"/>
          </w:tblCellMar>
        </w:tblPrEx>
        <w:trPr>
          <w:jc w:val="center"/>
        </w:trPr>
        <w:tc>
          <w:tcPr>
            <w:tcW w:w="2000" w:type="dxa"/>
            <w:shd w:val="clear" w:color="auto" w:fill="041E47"/>
            <w:tcMar>
              <w:top w:w="120" w:type="dxa"/>
              <w:left w:w="160" w:type="dxa"/>
              <w:bottom w:w="120" w:type="dxa"/>
              <w:right w:w="120" w:type="dxa"/>
            </w:tcMar>
            <w:vAlign w:val="center"/>
          </w:tcPr>
          <w:p w14:paraId="1606E397" w14:textId="77777777" w:rsidR="00037328" w:rsidRDefault="00014970">
            <w:r>
              <w:rPr>
                <w:b/>
                <w:bCs/>
                <w:color w:val="F5B800"/>
                <w:sz w:val="18"/>
                <w:szCs w:val="18"/>
              </w:rPr>
              <w:t>Classification</w:t>
            </w:r>
          </w:p>
        </w:tc>
        <w:tc>
          <w:tcPr>
            <w:tcW w:w="4200" w:type="dxa"/>
            <w:tcMar>
              <w:top w:w="120" w:type="dxa"/>
              <w:left w:w="160" w:type="dxa"/>
              <w:bottom w:w="120" w:type="dxa"/>
              <w:right w:w="120" w:type="dxa"/>
            </w:tcMar>
            <w:vAlign w:val="center"/>
          </w:tcPr>
          <w:p w14:paraId="2155D7FF" w14:textId="77777777" w:rsidR="00037328" w:rsidRDefault="00014970">
            <w:r>
              <w:rPr>
                <w:sz w:val="20"/>
                <w:szCs w:val="20"/>
              </w:rPr>
              <w:t>Internal Status Synthesis — Version 1.0</w:t>
            </w:r>
          </w:p>
        </w:tc>
      </w:tr>
    </w:tbl>
    <w:p w14:paraId="0335DB23" w14:textId="77777777" w:rsidR="00037328" w:rsidRDefault="00037328">
      <w:pPr>
        <w:spacing w:before="700"/>
      </w:pPr>
    </w:p>
    <w:p w14:paraId="44248EAE" w14:textId="77777777" w:rsidR="00037328" w:rsidRDefault="00014970">
      <w:pPr>
        <w:jc w:val="center"/>
      </w:pPr>
      <w:r>
        <w:rPr>
          <w:b/>
          <w:bCs/>
          <w:i/>
          <w:iCs/>
          <w:color w:val="00A9EE"/>
        </w:rPr>
        <w:t>Navigate farther. Watch the horizon.</w:t>
      </w:r>
    </w:p>
    <w:p w14:paraId="49826F32" w14:textId="77777777" w:rsidR="00037328" w:rsidRDefault="00037328">
      <w:pPr>
        <w:sectPr w:rsidR="00037328">
          <w:pgSz w:w="12240" w:h="15840"/>
          <w:pgMar w:top="1600" w:right="1440" w:bottom="1600" w:left="1440" w:header="708" w:footer="708" w:gutter="0"/>
          <w:cols w:space="720"/>
          <w:titlePg/>
          <w:docGrid w:linePitch="360"/>
        </w:sectPr>
      </w:pPr>
    </w:p>
    <w:p w14:paraId="2BF0B4AC" w14:textId="77777777" w:rsidR="00037328" w:rsidRDefault="00014970">
      <w:pPr>
        <w:pStyle w:val="Heading1"/>
        <w:pBdr>
          <w:bottom w:val="single" w:sz="12" w:space="8" w:color="F5B800"/>
        </w:pBdr>
        <w:spacing w:after="200"/>
      </w:pPr>
      <w:bookmarkStart w:id="0" w:name="_Toc238028855"/>
      <w:r>
        <w:rPr>
          <w:b/>
          <w:bCs/>
          <w:color w:val="041E47"/>
        </w:rPr>
        <w:lastRenderedPageBreak/>
        <w:t>Executive Summary</w:t>
      </w:r>
      <w:bookmarkEnd w:id="0"/>
    </w:p>
    <w:p w14:paraId="4C4FE65A" w14:textId="77777777" w:rsidR="00037328" w:rsidRDefault="00014970">
      <w:pPr>
        <w:spacing w:after="200" w:line="288" w:lineRule="auto"/>
        <w:jc w:val="both"/>
      </w:pPr>
      <w:r>
        <w:t>The status of Earth system stability from 1826 to the present is characterized by an accelerating loss of resilience across more than 25 identified tipping systems. This report synthesizes 200 years of solar-terrestrial, solid-Earth, oceanic, and cryospheric observation into a single stability assessment, tracing how energetic inputs from the Sun propagate through the geothermal, oceanic, and cryospheric subsystems of the planet.</w:t>
      </w:r>
    </w:p>
    <w:p w14:paraId="3044E98E" w14:textId="77777777" w:rsidR="00037328" w:rsidRDefault="00014970">
      <w:pPr>
        <w:spacing w:after="200" w:line="288" w:lineRule="auto"/>
        <w:jc w:val="both"/>
      </w:pPr>
      <w:r>
        <w:t>Observational evidence indicates that the planet is approaching a critical state shift. Combined evidence from solar-terrestrial coupling, basal geothermal heat flux, and ocean circulation metrics shows the Earth system is currently experiencing a period of profound instability — one that warrants higher-resolution risk assessment for imminent tipping cascades.</w:t>
      </w:r>
    </w:p>
    <w:p w14:paraId="5EC0C4C6" w14:textId="77777777" w:rsidR="00037328" w:rsidRDefault="00014970">
      <w:pPr>
        <w:spacing w:before="400" w:after="200"/>
      </w:pPr>
      <w:r>
        <w:br w:type="page"/>
      </w:r>
    </w:p>
    <w:p w14:paraId="2449D81E" w14:textId="77777777" w:rsidR="00037328" w:rsidRDefault="00014970">
      <w:pPr>
        <w:pStyle w:val="Heading1"/>
        <w:pBdr>
          <w:bottom w:val="single" w:sz="12" w:space="8" w:color="F5B800"/>
        </w:pBdr>
        <w:spacing w:after="240"/>
      </w:pPr>
      <w:bookmarkStart w:id="1" w:name="_Toc238028856"/>
      <w:r>
        <w:rPr>
          <w:b/>
          <w:bCs/>
          <w:color w:val="041E47"/>
        </w:rPr>
        <w:lastRenderedPageBreak/>
        <w:t>Table of Contents</w:t>
      </w:r>
      <w:bookmarkEnd w:id="1"/>
    </w:p>
    <w:sdt>
      <w:sdtPr>
        <w:alias w:val="Table of Contents"/>
        <w:id w:val="1084798217"/>
      </w:sdtPr>
      <w:sdtEndPr/>
      <w:sdtContent>
        <w:p w14:paraId="286825E0" w14:textId="06092FB1" w:rsidR="00C35C93" w:rsidRDefault="00014970">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r>
            <w:fldChar w:fldCharType="begin"/>
          </w:r>
          <w:r>
            <w:instrText>TOC \h \o "1-2"</w:instrText>
          </w:r>
          <w:r>
            <w:fldChar w:fldCharType="separate"/>
          </w:r>
          <w:hyperlink w:anchor="_Toc238028855" w:history="1">
            <w:r w:rsidR="00C35C93" w:rsidRPr="00893A3F">
              <w:rPr>
                <w:rStyle w:val="Hyperlink"/>
                <w:b/>
                <w:bCs/>
                <w:noProof/>
              </w:rPr>
              <w:t>Executive Summary</w:t>
            </w:r>
            <w:r w:rsidR="00C35C93">
              <w:rPr>
                <w:noProof/>
              </w:rPr>
              <w:tab/>
            </w:r>
            <w:r w:rsidR="00C35C93">
              <w:rPr>
                <w:noProof/>
              </w:rPr>
              <w:fldChar w:fldCharType="begin"/>
            </w:r>
            <w:r w:rsidR="00C35C93">
              <w:rPr>
                <w:noProof/>
              </w:rPr>
              <w:instrText xml:space="preserve"> PAGEREF _Toc238028855 \h </w:instrText>
            </w:r>
            <w:r w:rsidR="00C35C93">
              <w:rPr>
                <w:noProof/>
              </w:rPr>
            </w:r>
            <w:r w:rsidR="00C35C93">
              <w:rPr>
                <w:noProof/>
              </w:rPr>
              <w:fldChar w:fldCharType="separate"/>
            </w:r>
            <w:r w:rsidR="00C35C93">
              <w:rPr>
                <w:noProof/>
              </w:rPr>
              <w:t>i</w:t>
            </w:r>
            <w:r w:rsidR="00C35C93">
              <w:rPr>
                <w:noProof/>
              </w:rPr>
              <w:fldChar w:fldCharType="end"/>
            </w:r>
          </w:hyperlink>
        </w:p>
        <w:p w14:paraId="3E81C3F0" w14:textId="620E1159" w:rsidR="00C35C93" w:rsidRDefault="00C35C93">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38028856" w:history="1">
            <w:r w:rsidRPr="00893A3F">
              <w:rPr>
                <w:rStyle w:val="Hyperlink"/>
                <w:b/>
                <w:bCs/>
                <w:noProof/>
              </w:rPr>
              <w:t>Table of Contents</w:t>
            </w:r>
            <w:r>
              <w:rPr>
                <w:noProof/>
              </w:rPr>
              <w:tab/>
            </w:r>
            <w:r>
              <w:rPr>
                <w:noProof/>
              </w:rPr>
              <w:fldChar w:fldCharType="begin"/>
            </w:r>
            <w:r>
              <w:rPr>
                <w:noProof/>
              </w:rPr>
              <w:instrText xml:space="preserve"> PAGEREF _Toc238028856 \h </w:instrText>
            </w:r>
            <w:r>
              <w:rPr>
                <w:noProof/>
              </w:rPr>
            </w:r>
            <w:r>
              <w:rPr>
                <w:noProof/>
              </w:rPr>
              <w:fldChar w:fldCharType="separate"/>
            </w:r>
            <w:r>
              <w:rPr>
                <w:noProof/>
              </w:rPr>
              <w:t>ii</w:t>
            </w:r>
            <w:r>
              <w:rPr>
                <w:noProof/>
              </w:rPr>
              <w:fldChar w:fldCharType="end"/>
            </w:r>
          </w:hyperlink>
        </w:p>
        <w:p w14:paraId="1346A58F" w14:textId="6A319A66" w:rsidR="00C35C93" w:rsidRDefault="00C35C93">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38028857" w:history="1">
            <w:r w:rsidRPr="00893A3F">
              <w:rPr>
                <w:rStyle w:val="Hyperlink"/>
                <w:b/>
                <w:bCs/>
                <w:noProof/>
              </w:rPr>
              <w:t>1. Solar &amp; Geomagnetic Record (1826–Present)</w:t>
            </w:r>
            <w:r>
              <w:rPr>
                <w:noProof/>
              </w:rPr>
              <w:tab/>
            </w:r>
            <w:r>
              <w:rPr>
                <w:noProof/>
              </w:rPr>
              <w:fldChar w:fldCharType="begin"/>
            </w:r>
            <w:r>
              <w:rPr>
                <w:noProof/>
              </w:rPr>
              <w:instrText xml:space="preserve"> PAGEREF _Toc238028857 \h </w:instrText>
            </w:r>
            <w:r>
              <w:rPr>
                <w:noProof/>
              </w:rPr>
            </w:r>
            <w:r>
              <w:rPr>
                <w:noProof/>
              </w:rPr>
              <w:fldChar w:fldCharType="separate"/>
            </w:r>
            <w:r>
              <w:rPr>
                <w:noProof/>
              </w:rPr>
              <w:t>1</w:t>
            </w:r>
            <w:r>
              <w:rPr>
                <w:noProof/>
              </w:rPr>
              <w:fldChar w:fldCharType="end"/>
            </w:r>
          </w:hyperlink>
        </w:p>
        <w:p w14:paraId="184A0A7C" w14:textId="0895B5AB" w:rsidR="00C35C93" w:rsidRDefault="00C35C93">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38028858" w:history="1">
            <w:r w:rsidRPr="00893A3F">
              <w:rPr>
                <w:rStyle w:val="Hyperlink"/>
                <w:b/>
                <w:bCs/>
                <w:noProof/>
              </w:rPr>
              <w:t>Context and Strategic Importance</w:t>
            </w:r>
            <w:r>
              <w:rPr>
                <w:noProof/>
              </w:rPr>
              <w:tab/>
            </w:r>
            <w:r>
              <w:rPr>
                <w:noProof/>
              </w:rPr>
              <w:fldChar w:fldCharType="begin"/>
            </w:r>
            <w:r>
              <w:rPr>
                <w:noProof/>
              </w:rPr>
              <w:instrText xml:space="preserve"> PAGEREF _Toc238028858 \h </w:instrText>
            </w:r>
            <w:r>
              <w:rPr>
                <w:noProof/>
              </w:rPr>
            </w:r>
            <w:r>
              <w:rPr>
                <w:noProof/>
              </w:rPr>
              <w:fldChar w:fldCharType="separate"/>
            </w:r>
            <w:r>
              <w:rPr>
                <w:noProof/>
              </w:rPr>
              <w:t>1</w:t>
            </w:r>
            <w:r>
              <w:rPr>
                <w:noProof/>
              </w:rPr>
              <w:fldChar w:fldCharType="end"/>
            </w:r>
          </w:hyperlink>
        </w:p>
        <w:p w14:paraId="6B80FEFA" w14:textId="75D6370A" w:rsidR="00C35C93" w:rsidRDefault="00C35C93">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38028859" w:history="1">
            <w:r w:rsidRPr="00893A3F">
              <w:rPr>
                <w:rStyle w:val="Hyperlink"/>
                <w:b/>
                <w:bCs/>
                <w:noProof/>
              </w:rPr>
              <w:t>Event Chronology and Technical Evaluation</w:t>
            </w:r>
            <w:r>
              <w:rPr>
                <w:noProof/>
              </w:rPr>
              <w:tab/>
            </w:r>
            <w:r>
              <w:rPr>
                <w:noProof/>
              </w:rPr>
              <w:fldChar w:fldCharType="begin"/>
            </w:r>
            <w:r>
              <w:rPr>
                <w:noProof/>
              </w:rPr>
              <w:instrText xml:space="preserve"> PAGEREF _Toc238028859 \h </w:instrText>
            </w:r>
            <w:r>
              <w:rPr>
                <w:noProof/>
              </w:rPr>
            </w:r>
            <w:r>
              <w:rPr>
                <w:noProof/>
              </w:rPr>
              <w:fldChar w:fldCharType="separate"/>
            </w:r>
            <w:r>
              <w:rPr>
                <w:noProof/>
              </w:rPr>
              <w:t>1</w:t>
            </w:r>
            <w:r>
              <w:rPr>
                <w:noProof/>
              </w:rPr>
              <w:fldChar w:fldCharType="end"/>
            </w:r>
          </w:hyperlink>
        </w:p>
        <w:p w14:paraId="4EC2A50C" w14:textId="47CA1B83" w:rsidR="00C35C93" w:rsidRDefault="00C35C93">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38028860" w:history="1">
            <w:r w:rsidRPr="00893A3F">
              <w:rPr>
                <w:rStyle w:val="Hyperlink"/>
                <w:b/>
                <w:bCs/>
                <w:noProof/>
              </w:rPr>
              <w:t>2. Solid Earth &amp; Geothermal Activity</w:t>
            </w:r>
            <w:r>
              <w:rPr>
                <w:noProof/>
              </w:rPr>
              <w:tab/>
            </w:r>
            <w:r>
              <w:rPr>
                <w:noProof/>
              </w:rPr>
              <w:fldChar w:fldCharType="begin"/>
            </w:r>
            <w:r>
              <w:rPr>
                <w:noProof/>
              </w:rPr>
              <w:instrText xml:space="preserve"> PAGEREF _Toc238028860 \h </w:instrText>
            </w:r>
            <w:r>
              <w:rPr>
                <w:noProof/>
              </w:rPr>
            </w:r>
            <w:r>
              <w:rPr>
                <w:noProof/>
              </w:rPr>
              <w:fldChar w:fldCharType="separate"/>
            </w:r>
            <w:r>
              <w:rPr>
                <w:noProof/>
              </w:rPr>
              <w:t>1</w:t>
            </w:r>
            <w:r>
              <w:rPr>
                <w:noProof/>
              </w:rPr>
              <w:fldChar w:fldCharType="end"/>
            </w:r>
          </w:hyperlink>
        </w:p>
        <w:p w14:paraId="1C428A50" w14:textId="7F5D200E" w:rsidR="00C35C93" w:rsidRDefault="00C35C93">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38028861" w:history="1">
            <w:r w:rsidRPr="00893A3F">
              <w:rPr>
                <w:rStyle w:val="Hyperlink"/>
                <w:b/>
                <w:bCs/>
                <w:noProof/>
              </w:rPr>
              <w:t>Context and Strategic Importance</w:t>
            </w:r>
            <w:r>
              <w:rPr>
                <w:noProof/>
              </w:rPr>
              <w:tab/>
            </w:r>
            <w:r>
              <w:rPr>
                <w:noProof/>
              </w:rPr>
              <w:fldChar w:fldCharType="begin"/>
            </w:r>
            <w:r>
              <w:rPr>
                <w:noProof/>
              </w:rPr>
              <w:instrText xml:space="preserve"> PAGEREF _Toc238028861 \h </w:instrText>
            </w:r>
            <w:r>
              <w:rPr>
                <w:noProof/>
              </w:rPr>
            </w:r>
            <w:r>
              <w:rPr>
                <w:noProof/>
              </w:rPr>
              <w:fldChar w:fldCharType="separate"/>
            </w:r>
            <w:r>
              <w:rPr>
                <w:noProof/>
              </w:rPr>
              <w:t>1</w:t>
            </w:r>
            <w:r>
              <w:rPr>
                <w:noProof/>
              </w:rPr>
              <w:fldChar w:fldCharType="end"/>
            </w:r>
          </w:hyperlink>
        </w:p>
        <w:p w14:paraId="3FC0E772" w14:textId="4BE8D626" w:rsidR="00C35C93" w:rsidRDefault="00C35C93">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38028862" w:history="1">
            <w:r w:rsidRPr="00893A3F">
              <w:rPr>
                <w:rStyle w:val="Hyperlink"/>
                <w:b/>
                <w:bCs/>
                <w:noProof/>
              </w:rPr>
              <w:t>Volcanic and Seismic Data Synthesis</w:t>
            </w:r>
            <w:r>
              <w:rPr>
                <w:noProof/>
              </w:rPr>
              <w:tab/>
            </w:r>
            <w:r>
              <w:rPr>
                <w:noProof/>
              </w:rPr>
              <w:fldChar w:fldCharType="begin"/>
            </w:r>
            <w:r>
              <w:rPr>
                <w:noProof/>
              </w:rPr>
              <w:instrText xml:space="preserve"> PAGEREF _Toc238028862 \h </w:instrText>
            </w:r>
            <w:r>
              <w:rPr>
                <w:noProof/>
              </w:rPr>
            </w:r>
            <w:r>
              <w:rPr>
                <w:noProof/>
              </w:rPr>
              <w:fldChar w:fldCharType="separate"/>
            </w:r>
            <w:r>
              <w:rPr>
                <w:noProof/>
              </w:rPr>
              <w:t>2</w:t>
            </w:r>
            <w:r>
              <w:rPr>
                <w:noProof/>
              </w:rPr>
              <w:fldChar w:fldCharType="end"/>
            </w:r>
          </w:hyperlink>
        </w:p>
        <w:p w14:paraId="667BC5B9" w14:textId="59554781" w:rsidR="00C35C93" w:rsidRDefault="00C35C93">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38028863" w:history="1">
            <w:r w:rsidRPr="00893A3F">
              <w:rPr>
                <w:rStyle w:val="Hyperlink"/>
                <w:b/>
                <w:bCs/>
                <w:noProof/>
              </w:rPr>
              <w:t>Geothermal Flux and Seismic Trends</w:t>
            </w:r>
            <w:r>
              <w:rPr>
                <w:noProof/>
              </w:rPr>
              <w:tab/>
            </w:r>
            <w:r>
              <w:rPr>
                <w:noProof/>
              </w:rPr>
              <w:fldChar w:fldCharType="begin"/>
            </w:r>
            <w:r>
              <w:rPr>
                <w:noProof/>
              </w:rPr>
              <w:instrText xml:space="preserve"> PAGEREF _Toc238028863 \h </w:instrText>
            </w:r>
            <w:r>
              <w:rPr>
                <w:noProof/>
              </w:rPr>
            </w:r>
            <w:r>
              <w:rPr>
                <w:noProof/>
              </w:rPr>
              <w:fldChar w:fldCharType="separate"/>
            </w:r>
            <w:r>
              <w:rPr>
                <w:noProof/>
              </w:rPr>
              <w:t>2</w:t>
            </w:r>
            <w:r>
              <w:rPr>
                <w:noProof/>
              </w:rPr>
              <w:fldChar w:fldCharType="end"/>
            </w:r>
          </w:hyperlink>
        </w:p>
        <w:p w14:paraId="355D24B9" w14:textId="4F0F1FEF" w:rsidR="00C35C93" w:rsidRDefault="00C35C93">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38028864" w:history="1">
            <w:r w:rsidRPr="00893A3F">
              <w:rPr>
                <w:rStyle w:val="Hyperlink"/>
                <w:b/>
                <w:bCs/>
                <w:noProof/>
              </w:rPr>
              <w:t>3. Ocean Circulation &amp; Ocean-Atmosphere Oscillations</w:t>
            </w:r>
            <w:r>
              <w:rPr>
                <w:noProof/>
              </w:rPr>
              <w:tab/>
            </w:r>
            <w:r>
              <w:rPr>
                <w:noProof/>
              </w:rPr>
              <w:fldChar w:fldCharType="begin"/>
            </w:r>
            <w:r>
              <w:rPr>
                <w:noProof/>
              </w:rPr>
              <w:instrText xml:space="preserve"> PAGEREF _Toc238028864 \h </w:instrText>
            </w:r>
            <w:r>
              <w:rPr>
                <w:noProof/>
              </w:rPr>
            </w:r>
            <w:r>
              <w:rPr>
                <w:noProof/>
              </w:rPr>
              <w:fldChar w:fldCharType="separate"/>
            </w:r>
            <w:r>
              <w:rPr>
                <w:noProof/>
              </w:rPr>
              <w:t>2</w:t>
            </w:r>
            <w:r>
              <w:rPr>
                <w:noProof/>
              </w:rPr>
              <w:fldChar w:fldCharType="end"/>
            </w:r>
          </w:hyperlink>
        </w:p>
        <w:p w14:paraId="515690DE" w14:textId="12230C52" w:rsidR="00C35C93" w:rsidRDefault="00C35C93">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38028865" w:history="1">
            <w:r w:rsidRPr="00893A3F">
              <w:rPr>
                <w:rStyle w:val="Hyperlink"/>
                <w:b/>
                <w:bCs/>
                <w:noProof/>
              </w:rPr>
              <w:t>Context and Strategic Importance</w:t>
            </w:r>
            <w:r>
              <w:rPr>
                <w:noProof/>
              </w:rPr>
              <w:tab/>
            </w:r>
            <w:r>
              <w:rPr>
                <w:noProof/>
              </w:rPr>
              <w:fldChar w:fldCharType="begin"/>
            </w:r>
            <w:r>
              <w:rPr>
                <w:noProof/>
              </w:rPr>
              <w:instrText xml:space="preserve"> PAGEREF _Toc238028865 \h </w:instrText>
            </w:r>
            <w:r>
              <w:rPr>
                <w:noProof/>
              </w:rPr>
            </w:r>
            <w:r>
              <w:rPr>
                <w:noProof/>
              </w:rPr>
              <w:fldChar w:fldCharType="separate"/>
            </w:r>
            <w:r>
              <w:rPr>
                <w:noProof/>
              </w:rPr>
              <w:t>2</w:t>
            </w:r>
            <w:r>
              <w:rPr>
                <w:noProof/>
              </w:rPr>
              <w:fldChar w:fldCharType="end"/>
            </w:r>
          </w:hyperlink>
        </w:p>
        <w:p w14:paraId="01006F51" w14:textId="3D35938D" w:rsidR="00C35C93" w:rsidRDefault="00C35C93">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38028866" w:history="1">
            <w:r w:rsidRPr="00893A3F">
              <w:rPr>
                <w:rStyle w:val="Hyperlink"/>
                <w:b/>
                <w:bCs/>
                <w:noProof/>
              </w:rPr>
              <w:t>Circulation Dynamics and Stability Metrics</w:t>
            </w:r>
            <w:r>
              <w:rPr>
                <w:noProof/>
              </w:rPr>
              <w:tab/>
            </w:r>
            <w:r>
              <w:rPr>
                <w:noProof/>
              </w:rPr>
              <w:fldChar w:fldCharType="begin"/>
            </w:r>
            <w:r>
              <w:rPr>
                <w:noProof/>
              </w:rPr>
              <w:instrText xml:space="preserve"> PAGEREF _Toc238028866 \h </w:instrText>
            </w:r>
            <w:r>
              <w:rPr>
                <w:noProof/>
              </w:rPr>
            </w:r>
            <w:r>
              <w:rPr>
                <w:noProof/>
              </w:rPr>
              <w:fldChar w:fldCharType="separate"/>
            </w:r>
            <w:r>
              <w:rPr>
                <w:noProof/>
              </w:rPr>
              <w:t>3</w:t>
            </w:r>
            <w:r>
              <w:rPr>
                <w:noProof/>
              </w:rPr>
              <w:fldChar w:fldCharType="end"/>
            </w:r>
          </w:hyperlink>
        </w:p>
        <w:p w14:paraId="08BB21AA" w14:textId="4C96E218" w:rsidR="00C35C93" w:rsidRDefault="00C35C93">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38028867" w:history="1">
            <w:r w:rsidRPr="00893A3F">
              <w:rPr>
                <w:rStyle w:val="Hyperlink"/>
                <w:b/>
                <w:bCs/>
                <w:noProof/>
              </w:rPr>
              <w:t>4. Cryospheric Status &amp; Dynamics (Arctic, Greenland, Antarctica)</w:t>
            </w:r>
            <w:r>
              <w:rPr>
                <w:noProof/>
              </w:rPr>
              <w:tab/>
            </w:r>
            <w:r>
              <w:rPr>
                <w:noProof/>
              </w:rPr>
              <w:fldChar w:fldCharType="begin"/>
            </w:r>
            <w:r>
              <w:rPr>
                <w:noProof/>
              </w:rPr>
              <w:instrText xml:space="preserve"> PAGEREF _Toc238028867 \h </w:instrText>
            </w:r>
            <w:r>
              <w:rPr>
                <w:noProof/>
              </w:rPr>
            </w:r>
            <w:r>
              <w:rPr>
                <w:noProof/>
              </w:rPr>
              <w:fldChar w:fldCharType="separate"/>
            </w:r>
            <w:r>
              <w:rPr>
                <w:noProof/>
              </w:rPr>
              <w:t>3</w:t>
            </w:r>
            <w:r>
              <w:rPr>
                <w:noProof/>
              </w:rPr>
              <w:fldChar w:fldCharType="end"/>
            </w:r>
          </w:hyperlink>
        </w:p>
        <w:p w14:paraId="0E0722D2" w14:textId="0786EE0C" w:rsidR="00C35C93" w:rsidRDefault="00C35C93">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38028868" w:history="1">
            <w:r w:rsidRPr="00893A3F">
              <w:rPr>
                <w:rStyle w:val="Hyperlink"/>
                <w:b/>
                <w:bCs/>
                <w:noProof/>
              </w:rPr>
              <w:t>Context and Strategic Importance</w:t>
            </w:r>
            <w:r>
              <w:rPr>
                <w:noProof/>
              </w:rPr>
              <w:tab/>
            </w:r>
            <w:r>
              <w:rPr>
                <w:noProof/>
              </w:rPr>
              <w:fldChar w:fldCharType="begin"/>
            </w:r>
            <w:r>
              <w:rPr>
                <w:noProof/>
              </w:rPr>
              <w:instrText xml:space="preserve"> PAGEREF _Toc238028868 \h </w:instrText>
            </w:r>
            <w:r>
              <w:rPr>
                <w:noProof/>
              </w:rPr>
            </w:r>
            <w:r>
              <w:rPr>
                <w:noProof/>
              </w:rPr>
              <w:fldChar w:fldCharType="separate"/>
            </w:r>
            <w:r>
              <w:rPr>
                <w:noProof/>
              </w:rPr>
              <w:t>3</w:t>
            </w:r>
            <w:r>
              <w:rPr>
                <w:noProof/>
              </w:rPr>
              <w:fldChar w:fldCharType="end"/>
            </w:r>
          </w:hyperlink>
        </w:p>
        <w:p w14:paraId="42CF89C6" w14:textId="2D4597AF" w:rsidR="00C35C93" w:rsidRDefault="00C35C93">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38028869" w:history="1">
            <w:r w:rsidRPr="00893A3F">
              <w:rPr>
                <w:rStyle w:val="Hyperlink"/>
                <w:b/>
                <w:bCs/>
                <w:noProof/>
              </w:rPr>
              <w:t>Observed Physical Changes and Drivers</w:t>
            </w:r>
            <w:r>
              <w:rPr>
                <w:noProof/>
              </w:rPr>
              <w:tab/>
            </w:r>
            <w:r>
              <w:rPr>
                <w:noProof/>
              </w:rPr>
              <w:fldChar w:fldCharType="begin"/>
            </w:r>
            <w:r>
              <w:rPr>
                <w:noProof/>
              </w:rPr>
              <w:instrText xml:space="preserve"> PAGEREF _Toc238028869 \h </w:instrText>
            </w:r>
            <w:r>
              <w:rPr>
                <w:noProof/>
              </w:rPr>
            </w:r>
            <w:r>
              <w:rPr>
                <w:noProof/>
              </w:rPr>
              <w:fldChar w:fldCharType="separate"/>
            </w:r>
            <w:r>
              <w:rPr>
                <w:noProof/>
              </w:rPr>
              <w:t>3</w:t>
            </w:r>
            <w:r>
              <w:rPr>
                <w:noProof/>
              </w:rPr>
              <w:fldChar w:fldCharType="end"/>
            </w:r>
          </w:hyperlink>
        </w:p>
        <w:p w14:paraId="2EE54AF5" w14:textId="5A368A91" w:rsidR="00C35C93" w:rsidRDefault="00C35C93">
          <w:pPr>
            <w:pStyle w:val="TOC1"/>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38028870" w:history="1">
            <w:r w:rsidRPr="00893A3F">
              <w:rPr>
                <w:rStyle w:val="Hyperlink"/>
                <w:b/>
                <w:bCs/>
                <w:noProof/>
              </w:rPr>
              <w:t>5. Multi-Factor Synthesis &amp; Physical Projections</w:t>
            </w:r>
            <w:r>
              <w:rPr>
                <w:noProof/>
              </w:rPr>
              <w:tab/>
            </w:r>
            <w:r>
              <w:rPr>
                <w:noProof/>
              </w:rPr>
              <w:fldChar w:fldCharType="begin"/>
            </w:r>
            <w:r>
              <w:rPr>
                <w:noProof/>
              </w:rPr>
              <w:instrText xml:space="preserve"> PAGEREF _Toc238028870 \h </w:instrText>
            </w:r>
            <w:r>
              <w:rPr>
                <w:noProof/>
              </w:rPr>
            </w:r>
            <w:r>
              <w:rPr>
                <w:noProof/>
              </w:rPr>
              <w:fldChar w:fldCharType="separate"/>
            </w:r>
            <w:r>
              <w:rPr>
                <w:noProof/>
              </w:rPr>
              <w:t>4</w:t>
            </w:r>
            <w:r>
              <w:rPr>
                <w:noProof/>
              </w:rPr>
              <w:fldChar w:fldCharType="end"/>
            </w:r>
          </w:hyperlink>
        </w:p>
        <w:p w14:paraId="2D7968E1" w14:textId="2925C310" w:rsidR="00C35C93" w:rsidRDefault="00C35C93">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38028871" w:history="1">
            <w:r w:rsidRPr="00893A3F">
              <w:rPr>
                <w:rStyle w:val="Hyperlink"/>
                <w:b/>
                <w:bCs/>
                <w:noProof/>
              </w:rPr>
              <w:t>Context and Strategic Importance</w:t>
            </w:r>
            <w:r>
              <w:rPr>
                <w:noProof/>
              </w:rPr>
              <w:tab/>
            </w:r>
            <w:r>
              <w:rPr>
                <w:noProof/>
              </w:rPr>
              <w:fldChar w:fldCharType="begin"/>
            </w:r>
            <w:r>
              <w:rPr>
                <w:noProof/>
              </w:rPr>
              <w:instrText xml:space="preserve"> PAGEREF _Toc238028871 \h </w:instrText>
            </w:r>
            <w:r>
              <w:rPr>
                <w:noProof/>
              </w:rPr>
            </w:r>
            <w:r>
              <w:rPr>
                <w:noProof/>
              </w:rPr>
              <w:fldChar w:fldCharType="separate"/>
            </w:r>
            <w:r>
              <w:rPr>
                <w:noProof/>
              </w:rPr>
              <w:t>4</w:t>
            </w:r>
            <w:r>
              <w:rPr>
                <w:noProof/>
              </w:rPr>
              <w:fldChar w:fldCharType="end"/>
            </w:r>
          </w:hyperlink>
        </w:p>
        <w:p w14:paraId="25B94B58" w14:textId="5F229C4A" w:rsidR="00C35C93" w:rsidRDefault="00C35C93">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38028872" w:history="1">
            <w:r w:rsidRPr="00893A3F">
              <w:rPr>
                <w:rStyle w:val="Hyperlink"/>
                <w:b/>
                <w:bCs/>
                <w:noProof/>
              </w:rPr>
              <w:t>System Stability Matrix (1826–Present)</w:t>
            </w:r>
            <w:r>
              <w:rPr>
                <w:noProof/>
              </w:rPr>
              <w:tab/>
            </w:r>
            <w:r>
              <w:rPr>
                <w:noProof/>
              </w:rPr>
              <w:fldChar w:fldCharType="begin"/>
            </w:r>
            <w:r>
              <w:rPr>
                <w:noProof/>
              </w:rPr>
              <w:instrText xml:space="preserve"> PAGEREF _Toc238028872 \h </w:instrText>
            </w:r>
            <w:r>
              <w:rPr>
                <w:noProof/>
              </w:rPr>
            </w:r>
            <w:r>
              <w:rPr>
                <w:noProof/>
              </w:rPr>
              <w:fldChar w:fldCharType="separate"/>
            </w:r>
            <w:r>
              <w:rPr>
                <w:noProof/>
              </w:rPr>
              <w:t>4</w:t>
            </w:r>
            <w:r>
              <w:rPr>
                <w:noProof/>
              </w:rPr>
              <w:fldChar w:fldCharType="end"/>
            </w:r>
          </w:hyperlink>
        </w:p>
        <w:p w14:paraId="508C2D02" w14:textId="236BBB89" w:rsidR="00C35C93" w:rsidRDefault="00C35C93">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38028873" w:history="1">
            <w:r w:rsidRPr="00893A3F">
              <w:rPr>
                <w:rStyle w:val="Hyperlink"/>
                <w:b/>
                <w:bCs/>
                <w:noProof/>
              </w:rPr>
              <w:t>Physical Projections</w:t>
            </w:r>
            <w:r>
              <w:rPr>
                <w:noProof/>
              </w:rPr>
              <w:tab/>
            </w:r>
            <w:r>
              <w:rPr>
                <w:noProof/>
              </w:rPr>
              <w:fldChar w:fldCharType="begin"/>
            </w:r>
            <w:r>
              <w:rPr>
                <w:noProof/>
              </w:rPr>
              <w:instrText xml:space="preserve"> PAGEREF _Toc238028873 \h </w:instrText>
            </w:r>
            <w:r>
              <w:rPr>
                <w:noProof/>
              </w:rPr>
            </w:r>
            <w:r>
              <w:rPr>
                <w:noProof/>
              </w:rPr>
              <w:fldChar w:fldCharType="separate"/>
            </w:r>
            <w:r>
              <w:rPr>
                <w:noProof/>
              </w:rPr>
              <w:t>4</w:t>
            </w:r>
            <w:r>
              <w:rPr>
                <w:noProof/>
              </w:rPr>
              <w:fldChar w:fldCharType="end"/>
            </w:r>
          </w:hyperlink>
        </w:p>
        <w:p w14:paraId="2CA78EDA" w14:textId="477A8BEA" w:rsidR="00C35C93" w:rsidRDefault="00C35C93">
          <w:pPr>
            <w:pStyle w:val="TOC2"/>
            <w:tabs>
              <w:tab w:val="right" w:leader="dot" w:pos="9350"/>
            </w:tabs>
            <w:rPr>
              <w:rFonts w:asciiTheme="minorHAnsi" w:eastAsiaTheme="minorEastAsia" w:hAnsiTheme="minorHAnsi" w:cstheme="minorBidi"/>
              <w:noProof/>
              <w:color w:val="auto"/>
              <w:kern w:val="2"/>
              <w:sz w:val="24"/>
              <w:szCs w:val="24"/>
              <w14:ligatures w14:val="standardContextual"/>
            </w:rPr>
          </w:pPr>
          <w:hyperlink w:anchor="_Toc238028874" w:history="1">
            <w:r w:rsidRPr="00893A3F">
              <w:rPr>
                <w:rStyle w:val="Hyperlink"/>
                <w:b/>
                <w:bCs/>
                <w:noProof/>
              </w:rPr>
              <w:t>Final Synthesis</w:t>
            </w:r>
            <w:r>
              <w:rPr>
                <w:noProof/>
              </w:rPr>
              <w:tab/>
            </w:r>
            <w:r>
              <w:rPr>
                <w:noProof/>
              </w:rPr>
              <w:fldChar w:fldCharType="begin"/>
            </w:r>
            <w:r>
              <w:rPr>
                <w:noProof/>
              </w:rPr>
              <w:instrText xml:space="preserve"> PAGEREF _Toc238028874 \h </w:instrText>
            </w:r>
            <w:r>
              <w:rPr>
                <w:noProof/>
              </w:rPr>
            </w:r>
            <w:r>
              <w:rPr>
                <w:noProof/>
              </w:rPr>
              <w:fldChar w:fldCharType="separate"/>
            </w:r>
            <w:r>
              <w:rPr>
                <w:noProof/>
              </w:rPr>
              <w:t>5</w:t>
            </w:r>
            <w:r>
              <w:rPr>
                <w:noProof/>
              </w:rPr>
              <w:fldChar w:fldCharType="end"/>
            </w:r>
          </w:hyperlink>
        </w:p>
        <w:p w14:paraId="5180A340" w14:textId="332014F7" w:rsidR="00037328" w:rsidRDefault="00014970">
          <w:r>
            <w:fldChar w:fldCharType="end"/>
          </w:r>
        </w:p>
      </w:sdtContent>
    </w:sdt>
    <w:p w14:paraId="4F03B4E7" w14:textId="77777777" w:rsidR="00037328" w:rsidRDefault="00037328">
      <w:pPr>
        <w:sectPr w:rsidR="00037328">
          <w:headerReference w:type="default" r:id="rId8"/>
          <w:footerReference w:type="default" r:id="rId9"/>
          <w:pgSz w:w="12240" w:h="15840"/>
          <w:pgMar w:top="1440" w:right="1440" w:bottom="1440" w:left="1440" w:header="708" w:footer="708" w:gutter="0"/>
          <w:pgNumType w:fmt="lowerRoman" w:start="1"/>
          <w:cols w:space="720"/>
          <w:docGrid w:linePitch="360"/>
        </w:sectPr>
      </w:pPr>
    </w:p>
    <w:p w14:paraId="5C3FD5E9" w14:textId="77777777" w:rsidR="00037328" w:rsidRDefault="00014970">
      <w:pPr>
        <w:pStyle w:val="Heading1"/>
        <w:pBdr>
          <w:bottom w:val="single" w:sz="12" w:space="8" w:color="F5B800"/>
        </w:pBdr>
        <w:spacing w:before="480" w:after="200"/>
      </w:pPr>
      <w:bookmarkStart w:id="2" w:name="_Toc238028857"/>
      <w:r>
        <w:rPr>
          <w:b/>
          <w:bCs/>
          <w:color w:val="F5B800"/>
        </w:rPr>
        <w:lastRenderedPageBreak/>
        <w:t xml:space="preserve">1. </w:t>
      </w:r>
      <w:r>
        <w:rPr>
          <w:b/>
          <w:bCs/>
          <w:color w:val="041E47"/>
        </w:rPr>
        <w:t>Solar &amp; Geomagnetic Record (1826–Present)</w:t>
      </w:r>
      <w:bookmarkEnd w:id="2"/>
    </w:p>
    <w:p w14:paraId="17FE3D3D" w14:textId="77777777" w:rsidR="00037328" w:rsidRDefault="00014970">
      <w:pPr>
        <w:pStyle w:val="Heading2"/>
        <w:spacing w:before="280" w:after="120"/>
      </w:pPr>
      <w:bookmarkStart w:id="3" w:name="_Toc238028858"/>
      <w:r>
        <w:rPr>
          <w:b/>
          <w:bCs/>
          <w:color w:val="006CC5"/>
          <w:sz w:val="24"/>
          <w:szCs w:val="24"/>
        </w:rPr>
        <w:t>Context and Strategic Importance</w:t>
      </w:r>
      <w:bookmarkEnd w:id="3"/>
    </w:p>
    <w:p w14:paraId="0F800EBA" w14:textId="77777777" w:rsidR="00037328" w:rsidRDefault="00014970">
      <w:pPr>
        <w:spacing w:after="200" w:line="288" w:lineRule="auto"/>
        <w:jc w:val="both"/>
      </w:pPr>
      <w:r>
        <w:t>Solar-terrestrial coupling serves as the primary external forcing mechanism modulating Earth's magnetosphere and ionosphere. The exchange of energy between the solar wind and the geomagnetic field dictates the electromagnetic environment of the upper atmosphere. Long-term variability in Total Solar Irradiance (TSI) and discrete, high-magnitude geomagnetic disturbances represent the foundational baseline for natural variability. Understanding the rates of change in these coupling mechanisms is critical for d</w:t>
      </w:r>
      <w:r>
        <w:t>istinguishing natural solar forcing from anthropogenic radiative forcing, which has recently pushed the climate system into a state unprecedented in at least 120,000 years.</w:t>
      </w:r>
    </w:p>
    <w:p w14:paraId="3EC1A693" w14:textId="77777777" w:rsidR="00037328" w:rsidRDefault="00014970">
      <w:pPr>
        <w:pStyle w:val="Heading2"/>
        <w:spacing w:before="280" w:after="120"/>
      </w:pPr>
      <w:bookmarkStart w:id="4" w:name="_Toc238028859"/>
      <w:r>
        <w:rPr>
          <w:b/>
          <w:bCs/>
          <w:color w:val="006CC5"/>
          <w:sz w:val="24"/>
          <w:szCs w:val="24"/>
        </w:rPr>
        <w:t>Event Chronology and Technical Evaluation</w:t>
      </w:r>
      <w:bookmarkEnd w:id="4"/>
    </w:p>
    <w:p w14:paraId="2620274D" w14:textId="77777777" w:rsidR="00037328" w:rsidRDefault="00014970">
      <w:pPr>
        <w:spacing w:after="200" w:line="288" w:lineRule="auto"/>
        <w:jc w:val="both"/>
      </w:pPr>
      <w:r>
        <w:t>The 200-year observational record is defined by specific extreme geomagnetic events that characterize the upper limit of solar-driven perturbations:</w:t>
      </w:r>
    </w:p>
    <w:p w14:paraId="3A907CE8" w14:textId="77777777" w:rsidR="00037328" w:rsidRDefault="00014970">
      <w:pPr>
        <w:pStyle w:val="ListParagraph"/>
        <w:numPr>
          <w:ilvl w:val="0"/>
          <w:numId w:val="2"/>
        </w:numPr>
        <w:spacing w:after="140" w:line="276" w:lineRule="auto"/>
      </w:pPr>
      <w:r>
        <w:rPr>
          <w:b/>
          <w:bCs/>
          <w:color w:val="041E47"/>
        </w:rPr>
        <w:t>1859 Carrington Event:</w:t>
      </w:r>
      <w:r>
        <w:t xml:space="preserve"> The benchmark for geomagnetic intensity, resulting from a massive coronal mass ejection (CME). Estimated field perturbations reached ±1,600 nT or higher, inducing significant ionospheric currents.</w:t>
      </w:r>
    </w:p>
    <w:p w14:paraId="54149224" w14:textId="77777777" w:rsidR="00037328" w:rsidRDefault="00014970">
      <w:pPr>
        <w:pStyle w:val="ListParagraph"/>
        <w:numPr>
          <w:ilvl w:val="0"/>
          <w:numId w:val="2"/>
        </w:numPr>
        <w:spacing w:after="140" w:line="276" w:lineRule="auto"/>
      </w:pPr>
      <w:r>
        <w:rPr>
          <w:b/>
          <w:bCs/>
          <w:color w:val="041E47"/>
        </w:rPr>
        <w:t>1921 Railroad Storm:</w:t>
      </w:r>
      <w:r>
        <w:t xml:space="preserve"> A major disturbance characterized by intense geomagnetically induced currents (GICs), with estimated ground magnetic field perturbations exceeding 1,000 nT.</w:t>
      </w:r>
    </w:p>
    <w:p w14:paraId="34376252" w14:textId="77777777" w:rsidR="00037328" w:rsidRDefault="00014970">
      <w:pPr>
        <w:pStyle w:val="ListParagraph"/>
        <w:numPr>
          <w:ilvl w:val="0"/>
          <w:numId w:val="2"/>
        </w:numPr>
        <w:spacing w:after="140" w:line="276" w:lineRule="auto"/>
      </w:pPr>
      <w:r>
        <w:rPr>
          <w:b/>
          <w:bCs/>
          <w:color w:val="041E47"/>
        </w:rPr>
        <w:t>1989 Quebec Event:</w:t>
      </w:r>
      <w:r>
        <w:t xml:space="preserve"> A high-latitude coupling event that reached perturbations of ~500–600 nT, demonstrating the vulnerability of modern power grids to solar-driven ionospheric loading.</w:t>
      </w:r>
    </w:p>
    <w:p w14:paraId="4BC3A533" w14:textId="77777777" w:rsidR="00037328" w:rsidRDefault="00014970">
      <w:pPr>
        <w:spacing w:after="200" w:line="288" w:lineRule="auto"/>
        <w:jc w:val="both"/>
      </w:pPr>
      <w:r>
        <w:t>Technical evaluation of these perturbations indicates that while solar cycle activity has remained within historical variances, the sensitivity of Earth's upper atmospheric systems to these energetic baseline shifts is non-linear. The measured rate of change in geomagnetic field variations provides the essential context for evaluating current ionospheric coupling and its role in regional atmospheric forcing.</w:t>
      </w:r>
    </w:p>
    <w:p w14:paraId="2BA58552" w14:textId="77777777" w:rsidR="00037328" w:rsidRDefault="00014970">
      <w:pPr>
        <w:pBdr>
          <w:left w:val="single" w:sz="18" w:space="8" w:color="00A9EE"/>
        </w:pBdr>
        <w:shd w:val="clear" w:color="auto" w:fill="EAF4FC"/>
        <w:spacing w:before="160" w:after="240"/>
        <w:ind w:left="120"/>
      </w:pPr>
      <w:r>
        <w:rPr>
          <w:b/>
          <w:bCs/>
          <w:color w:val="006CC5"/>
          <w:sz w:val="18"/>
          <w:szCs w:val="18"/>
        </w:rPr>
        <w:t xml:space="preserve">CONNECTIVE TISSUE  </w:t>
      </w:r>
      <w:r>
        <w:rPr>
          <w:i/>
          <w:iCs/>
          <w:color w:val="041E47"/>
          <w:sz w:val="21"/>
          <w:szCs w:val="21"/>
        </w:rPr>
        <w:t>These solar-driven magnetic perturbations provide the necessary energetic baseline for the Earth's external environment, interacting with internal geophysical processes to influence the overall heat balance of the solid Earth and its internal thermal systems.</w:t>
      </w:r>
    </w:p>
    <w:p w14:paraId="07F874EE" w14:textId="77777777" w:rsidR="00037328" w:rsidRDefault="00014970">
      <w:pPr>
        <w:pStyle w:val="Heading1"/>
        <w:pBdr>
          <w:bottom w:val="single" w:sz="12" w:space="8" w:color="F5B800"/>
        </w:pBdr>
        <w:spacing w:before="480" w:after="200"/>
      </w:pPr>
      <w:bookmarkStart w:id="5" w:name="_Toc238028860"/>
      <w:r>
        <w:rPr>
          <w:b/>
          <w:bCs/>
          <w:color w:val="F5B800"/>
        </w:rPr>
        <w:t xml:space="preserve">2. </w:t>
      </w:r>
      <w:r>
        <w:rPr>
          <w:b/>
          <w:bCs/>
          <w:color w:val="041E47"/>
        </w:rPr>
        <w:t>Solid Earth &amp; Geothermal Activity</w:t>
      </w:r>
      <w:bookmarkEnd w:id="5"/>
    </w:p>
    <w:p w14:paraId="61AA95A4" w14:textId="77777777" w:rsidR="00037328" w:rsidRDefault="00014970">
      <w:pPr>
        <w:pStyle w:val="Heading2"/>
        <w:spacing w:before="280" w:after="120"/>
      </w:pPr>
      <w:bookmarkStart w:id="6" w:name="_Toc238028861"/>
      <w:r>
        <w:rPr>
          <w:b/>
          <w:bCs/>
          <w:color w:val="006CC5"/>
          <w:sz w:val="24"/>
          <w:szCs w:val="24"/>
        </w:rPr>
        <w:t>Context and Strategic Importance</w:t>
      </w:r>
      <w:bookmarkEnd w:id="6"/>
    </w:p>
    <w:p w14:paraId="683BA3D8" w14:textId="77777777" w:rsidR="00037328" w:rsidRDefault="00014970">
      <w:pPr>
        <w:spacing w:after="200" w:line="288" w:lineRule="auto"/>
        <w:jc w:val="both"/>
      </w:pPr>
      <w:r>
        <w:lastRenderedPageBreak/>
        <w:t>Monitoring internal heat drivers and volcanic output is essential for a comprehensive stability assessment. Volcanic aerosols represent a dominant natural radiative forcing mechanism, while basal geothermal heat flux acts as a critical co-driver for cryospheric destabilization. These internal thermal factors modulate the Earth system's response to external forcing and represent significant variables in the transition of ice sheets toward irreversible tipping thresholds.</w:t>
      </w:r>
    </w:p>
    <w:p w14:paraId="53098B8E" w14:textId="77777777" w:rsidR="00037328" w:rsidRDefault="00014970">
      <w:pPr>
        <w:pStyle w:val="Heading2"/>
        <w:spacing w:before="280" w:after="120"/>
      </w:pPr>
      <w:bookmarkStart w:id="7" w:name="_Toc238028862"/>
      <w:r>
        <w:rPr>
          <w:b/>
          <w:bCs/>
          <w:color w:val="006CC5"/>
          <w:sz w:val="24"/>
          <w:szCs w:val="24"/>
        </w:rPr>
        <w:t>Volcanic and Seismic Data Synthesis</w:t>
      </w:r>
      <w:bookmarkEnd w:id="7"/>
    </w:p>
    <w:p w14:paraId="303BAA9E" w14:textId="77777777" w:rsidR="00037328" w:rsidRDefault="00014970">
      <w:pPr>
        <w:spacing w:after="200" w:line="288" w:lineRule="auto"/>
        <w:jc w:val="both"/>
      </w:pPr>
      <w:r>
        <w:t>The 200-year chronology of major volcanic events is dominated by VEI 5+ eruptions, which introduce significant sulfate aerosols into the stratosphere, altering global radiative forcing:</w:t>
      </w:r>
    </w:p>
    <w:p w14:paraId="7C0D35AE" w14:textId="77777777" w:rsidR="00037328" w:rsidRDefault="00014970">
      <w:pPr>
        <w:pStyle w:val="ListParagraph"/>
        <w:numPr>
          <w:ilvl w:val="0"/>
          <w:numId w:val="2"/>
        </w:numPr>
        <w:spacing w:after="140" w:line="276" w:lineRule="auto"/>
      </w:pPr>
      <w:r>
        <w:rPr>
          <w:b/>
          <w:bCs/>
          <w:color w:val="041E47"/>
        </w:rPr>
        <w:t>1883 Krakatoa (VEI 6):</w:t>
      </w:r>
      <w:r>
        <w:t xml:space="preserve"> Produced significant short-term global cooling and massive aerosol distribution.</w:t>
      </w:r>
    </w:p>
    <w:p w14:paraId="21D13C97" w14:textId="77777777" w:rsidR="00037328" w:rsidRDefault="00014970">
      <w:pPr>
        <w:pStyle w:val="ListParagraph"/>
        <w:numPr>
          <w:ilvl w:val="0"/>
          <w:numId w:val="2"/>
        </w:numPr>
        <w:spacing w:after="140" w:line="276" w:lineRule="auto"/>
      </w:pPr>
      <w:r>
        <w:rPr>
          <w:b/>
          <w:bCs/>
          <w:color w:val="041E47"/>
        </w:rPr>
        <w:t>1912 Novarupta (VEI 6):</w:t>
      </w:r>
      <w:r>
        <w:t xml:space="preserve"> Significant localized and hemispheric radiative forcing.</w:t>
      </w:r>
    </w:p>
    <w:p w14:paraId="730E2161" w14:textId="77777777" w:rsidR="00037328" w:rsidRDefault="00014970">
      <w:pPr>
        <w:pStyle w:val="ListParagraph"/>
        <w:numPr>
          <w:ilvl w:val="0"/>
          <w:numId w:val="2"/>
        </w:numPr>
        <w:spacing w:after="140" w:line="276" w:lineRule="auto"/>
      </w:pPr>
      <w:r>
        <w:rPr>
          <w:b/>
          <w:bCs/>
          <w:color w:val="041E47"/>
        </w:rPr>
        <w:t>1980 Mount St. Helens (VEI 5):</w:t>
      </w:r>
      <w:r>
        <w:t xml:space="preserve"> Provided high-resolution data on aerosol loading and seismic coupling.</w:t>
      </w:r>
    </w:p>
    <w:p w14:paraId="00236CBF" w14:textId="77777777" w:rsidR="00037328" w:rsidRDefault="00014970">
      <w:pPr>
        <w:pStyle w:val="ListParagraph"/>
        <w:numPr>
          <w:ilvl w:val="0"/>
          <w:numId w:val="2"/>
        </w:numPr>
        <w:spacing w:after="140" w:line="276" w:lineRule="auto"/>
      </w:pPr>
      <w:r>
        <w:rPr>
          <w:b/>
          <w:bCs/>
          <w:color w:val="041E47"/>
        </w:rPr>
        <w:t>1991 Mount Pinatubo (VEI 6):</w:t>
      </w:r>
      <w:r>
        <w:t xml:space="preserve"> Reduced global temperatures by ~0.5°C for several years, demonstrating the magnitude of aerosol-driven stability shifts.</w:t>
      </w:r>
    </w:p>
    <w:p w14:paraId="6A0F7B14" w14:textId="77777777" w:rsidR="00037328" w:rsidRDefault="00014970">
      <w:pPr>
        <w:pStyle w:val="Heading2"/>
        <w:spacing w:before="280" w:after="120"/>
      </w:pPr>
      <w:bookmarkStart w:id="8" w:name="_Toc238028863"/>
      <w:r>
        <w:rPr>
          <w:b/>
          <w:bCs/>
          <w:color w:val="006CC5"/>
          <w:sz w:val="24"/>
          <w:szCs w:val="24"/>
        </w:rPr>
        <w:t>Geothermal Flux and Seismic Trends</w:t>
      </w:r>
      <w:bookmarkEnd w:id="8"/>
    </w:p>
    <w:p w14:paraId="6EF1A819" w14:textId="77777777" w:rsidR="00037328" w:rsidRDefault="00014970">
      <w:pPr>
        <w:spacing w:after="200" w:line="288" w:lineRule="auto"/>
        <w:jc w:val="both"/>
      </w:pPr>
      <w:r>
        <w:t>Observed data regarding basal geothermal heat flux indicate it is a primary factor in the destabilization of the Antarctic and Greenland ice sheets. Enhanced heat flux at the bedrock interface reduces friction, accelerating ice flow and contributing to “marine ice cliff instabilities.” Seismic trend variations, though largely localized, suggest that the lithospheric response to mass unloading (glacial isostatic adjustment) is an emerging variable in long-term system stability metrics.</w:t>
      </w:r>
    </w:p>
    <w:p w14:paraId="47CABCA5" w14:textId="77777777" w:rsidR="00037328" w:rsidRDefault="00014970">
      <w:pPr>
        <w:pBdr>
          <w:left w:val="single" w:sz="18" w:space="8" w:color="00A9EE"/>
        </w:pBdr>
        <w:shd w:val="clear" w:color="auto" w:fill="EAF4FC"/>
        <w:spacing w:before="160" w:after="240"/>
        <w:ind w:left="120"/>
      </w:pPr>
      <w:r>
        <w:rPr>
          <w:b/>
          <w:bCs/>
          <w:color w:val="006CC5"/>
          <w:sz w:val="18"/>
          <w:szCs w:val="18"/>
        </w:rPr>
        <w:t xml:space="preserve">CONNECTIVE TISSUE  </w:t>
      </w:r>
      <w:r>
        <w:rPr>
          <w:i/>
          <w:iCs/>
          <w:color w:val="041E47"/>
          <w:sz w:val="21"/>
          <w:szCs w:val="21"/>
        </w:rPr>
        <w:t>These internal thermal drivers and aerosol-induced radiative shifts influence the global thermal budget, directly impacting the heat distribution within the global ocean and its large-scale circulation patterns.</w:t>
      </w:r>
    </w:p>
    <w:p w14:paraId="47B3DFA1" w14:textId="77777777" w:rsidR="00037328" w:rsidRDefault="00014970">
      <w:pPr>
        <w:pStyle w:val="Heading1"/>
        <w:pBdr>
          <w:bottom w:val="single" w:sz="12" w:space="8" w:color="F5B800"/>
        </w:pBdr>
        <w:spacing w:before="480" w:after="200"/>
      </w:pPr>
      <w:bookmarkStart w:id="9" w:name="_Toc238028864"/>
      <w:r>
        <w:rPr>
          <w:b/>
          <w:bCs/>
          <w:color w:val="F5B800"/>
        </w:rPr>
        <w:t xml:space="preserve">3. </w:t>
      </w:r>
      <w:r>
        <w:rPr>
          <w:b/>
          <w:bCs/>
          <w:color w:val="041E47"/>
        </w:rPr>
        <w:t>Ocean Circulation &amp; Ocean-Atmosphere Oscillations</w:t>
      </w:r>
      <w:bookmarkEnd w:id="9"/>
    </w:p>
    <w:p w14:paraId="5A970D96" w14:textId="77777777" w:rsidR="00037328" w:rsidRDefault="00014970">
      <w:pPr>
        <w:pStyle w:val="Heading2"/>
        <w:spacing w:before="280" w:after="120"/>
      </w:pPr>
      <w:bookmarkStart w:id="10" w:name="_Toc238028865"/>
      <w:r>
        <w:rPr>
          <w:b/>
          <w:bCs/>
          <w:color w:val="006CC5"/>
          <w:sz w:val="24"/>
          <w:szCs w:val="24"/>
        </w:rPr>
        <w:t>Context and Strategic Importance</w:t>
      </w:r>
      <w:bookmarkEnd w:id="10"/>
    </w:p>
    <w:p w14:paraId="6FF1151F" w14:textId="77777777" w:rsidR="00037328" w:rsidRDefault="00014970">
      <w:pPr>
        <w:spacing w:after="200" w:line="288" w:lineRule="auto"/>
        <w:jc w:val="both"/>
      </w:pPr>
      <w:r>
        <w:t>The Atlantic Meridional Overturning Circulation (AMOC) and associated oscillations represent the primary “conveyor belt” for global thermohaline transport. AMOC stability is a critical metric for regional climate regimes; the current transport of heat from the Tropics maintains the significant temperature delta between London and Quebec City. Historically, Quebec City has averaged 99 freezing days per year compared to London's three, despite their similar latitudes (47°N and 51°N, respectively), illustratin</w:t>
      </w:r>
      <w:r>
        <w:t>g the catastrophic potential of a circulation collapse.</w:t>
      </w:r>
    </w:p>
    <w:p w14:paraId="0EC43A1B" w14:textId="77777777" w:rsidR="00037328" w:rsidRDefault="00014970">
      <w:pPr>
        <w:pStyle w:val="Heading2"/>
        <w:spacing w:before="280" w:after="120"/>
      </w:pPr>
      <w:bookmarkStart w:id="11" w:name="_Toc238028866"/>
      <w:r>
        <w:rPr>
          <w:b/>
          <w:bCs/>
          <w:color w:val="006CC5"/>
          <w:sz w:val="24"/>
          <w:szCs w:val="24"/>
        </w:rPr>
        <w:lastRenderedPageBreak/>
        <w:t>Circulation Dynamics and Stability Metrics</w:t>
      </w:r>
      <w:bookmarkEnd w:id="11"/>
    </w:p>
    <w:p w14:paraId="18F5CA65" w14:textId="77777777" w:rsidR="00037328" w:rsidRDefault="00014970">
      <w:pPr>
        <w:spacing w:after="200" w:line="288" w:lineRule="auto"/>
        <w:jc w:val="both"/>
      </w:pPr>
      <w:r>
        <w:t>Current transport rates in the AMOC have shown signs of significant decline. Observational data and theoretical models suggest the following:</w:t>
      </w:r>
    </w:p>
    <w:p w14:paraId="28623B17" w14:textId="77777777" w:rsidR="00037328" w:rsidRDefault="00014970">
      <w:pPr>
        <w:pStyle w:val="ListParagraph"/>
        <w:numPr>
          <w:ilvl w:val="0"/>
          <w:numId w:val="2"/>
        </w:numPr>
        <w:spacing w:after="140" w:line="276" w:lineRule="auto"/>
      </w:pPr>
      <w:r>
        <w:rPr>
          <w:b/>
          <w:bCs/>
          <w:color w:val="041E47"/>
        </w:rPr>
        <w:t>Stability States:</w:t>
      </w:r>
      <w:r>
        <w:t xml:space="preserve"> AMOC possesses a bi-stable nature. Current research indicates it is losing resilience, with “Early Warning Signals” (EWS) suggesting an approach toward a critical tipping threshold.</w:t>
      </w:r>
    </w:p>
    <w:p w14:paraId="5B81B63F" w14:textId="77777777" w:rsidR="00037328" w:rsidRDefault="00014970">
      <w:pPr>
        <w:pStyle w:val="ListParagraph"/>
        <w:numPr>
          <w:ilvl w:val="0"/>
          <w:numId w:val="2"/>
        </w:numPr>
        <w:spacing w:after="140" w:line="276" w:lineRule="auto"/>
      </w:pPr>
      <w:r>
        <w:rPr>
          <w:b/>
          <w:bCs/>
          <w:color w:val="041E47"/>
        </w:rPr>
        <w:t>Multi-Decadal Oscillations:</w:t>
      </w:r>
      <w:r>
        <w:t xml:space="preserve"> Systems including the Atlantic Multidecadal Oscillation (AMO), Pacific Decadal Oscillation (PDO), and El Niño–Southern Oscillation (ENSO) modulate regional heat distribution. Interactions between these oscillations and the AMOC create feedback loops — specifically, AMOC slowing can trigger cascades impacting the West African monsoon and the Amazon rainforest.</w:t>
      </w:r>
    </w:p>
    <w:p w14:paraId="1A398760" w14:textId="77777777" w:rsidR="00037328" w:rsidRDefault="00014970">
      <w:pPr>
        <w:pStyle w:val="ListParagraph"/>
        <w:numPr>
          <w:ilvl w:val="0"/>
          <w:numId w:val="2"/>
        </w:numPr>
        <w:spacing w:after="140" w:line="276" w:lineRule="auto"/>
      </w:pPr>
      <w:r>
        <w:rPr>
          <w:b/>
          <w:bCs/>
          <w:color w:val="041E47"/>
        </w:rPr>
        <w:t>Physical Mechanisms:</w:t>
      </w:r>
      <w:r>
        <w:t xml:space="preserve"> Changes in salinity and thermal gradients drive these shifts. Increased freshwater input from cryospheric melting disrupts the density-driven sinking in the North Atlantic, threatening a complete shutdown of the overturning transport.</w:t>
      </w:r>
    </w:p>
    <w:p w14:paraId="2C0B2459" w14:textId="77777777" w:rsidR="00037328" w:rsidRDefault="00014970">
      <w:pPr>
        <w:pBdr>
          <w:left w:val="single" w:sz="18" w:space="8" w:color="00A9EE"/>
        </w:pBdr>
        <w:shd w:val="clear" w:color="auto" w:fill="EAF4FC"/>
        <w:spacing w:before="160" w:after="240"/>
        <w:ind w:left="120"/>
      </w:pPr>
      <w:r>
        <w:rPr>
          <w:b/>
          <w:bCs/>
          <w:color w:val="006CC5"/>
          <w:sz w:val="18"/>
          <w:szCs w:val="18"/>
        </w:rPr>
        <w:t xml:space="preserve">CONNECTIVE TISSUE  </w:t>
      </w:r>
      <w:r>
        <w:rPr>
          <w:i/>
          <w:iCs/>
          <w:color w:val="041E47"/>
          <w:sz w:val="21"/>
          <w:szCs w:val="21"/>
        </w:rPr>
        <w:t>Changes in these ocean transport mechanisms directly modulate the thermal environment of the planet's largest freshwater reservoirs, determining the mass balance and structural integrity of the global cryosphere.</w:t>
      </w:r>
    </w:p>
    <w:p w14:paraId="427E4632" w14:textId="77777777" w:rsidR="00037328" w:rsidRDefault="00014970">
      <w:pPr>
        <w:pStyle w:val="Heading1"/>
        <w:pBdr>
          <w:bottom w:val="single" w:sz="12" w:space="8" w:color="F5B800"/>
        </w:pBdr>
        <w:spacing w:before="480" w:after="200"/>
      </w:pPr>
      <w:bookmarkStart w:id="12" w:name="_Toc238028867"/>
      <w:r>
        <w:rPr>
          <w:b/>
          <w:bCs/>
          <w:color w:val="F5B800"/>
        </w:rPr>
        <w:t xml:space="preserve">4. </w:t>
      </w:r>
      <w:r>
        <w:rPr>
          <w:b/>
          <w:bCs/>
          <w:color w:val="041E47"/>
        </w:rPr>
        <w:t>Cryospheric Status &amp; Dynamics (Arctic, Greenland, Antarctica)</w:t>
      </w:r>
      <w:bookmarkEnd w:id="12"/>
    </w:p>
    <w:p w14:paraId="0157BA2B" w14:textId="77777777" w:rsidR="00037328" w:rsidRDefault="00014970">
      <w:pPr>
        <w:pStyle w:val="Heading2"/>
        <w:spacing w:before="280" w:after="120"/>
      </w:pPr>
      <w:bookmarkStart w:id="13" w:name="_Toc238028868"/>
      <w:r>
        <w:rPr>
          <w:b/>
          <w:bCs/>
          <w:color w:val="006CC5"/>
          <w:sz w:val="24"/>
          <w:szCs w:val="24"/>
        </w:rPr>
        <w:t>Context and Strategic Importance</w:t>
      </w:r>
      <w:bookmarkEnd w:id="13"/>
    </w:p>
    <w:p w14:paraId="1D8DBA79" w14:textId="77777777" w:rsidR="00037328" w:rsidRDefault="00014970">
      <w:pPr>
        <w:spacing w:after="200" w:line="288" w:lineRule="auto"/>
        <w:jc w:val="both"/>
      </w:pPr>
      <w:r>
        <w:t>The cryosphere serves as the most sensitive indicator of the Earth's physical state. Ice sheet mass balance and movement rates are the direct physical outcomes of interactions between atmospheric radiative forcing, oceanic heat transport, and basal geothermal heat flux. Tipping points in these systems are not merely regional concerns; they represent irreversible commitments to global sea-level rise.</w:t>
      </w:r>
    </w:p>
    <w:p w14:paraId="613765EF" w14:textId="77777777" w:rsidR="00037328" w:rsidRDefault="00014970">
      <w:pPr>
        <w:pStyle w:val="Heading2"/>
        <w:spacing w:before="280" w:after="120"/>
      </w:pPr>
      <w:bookmarkStart w:id="14" w:name="_Toc238028869"/>
      <w:r>
        <w:rPr>
          <w:b/>
          <w:bCs/>
          <w:color w:val="006CC5"/>
          <w:sz w:val="24"/>
          <w:szCs w:val="24"/>
        </w:rPr>
        <w:t>Observed Physical Changes and Drivers</w:t>
      </w:r>
      <w:bookmarkEnd w:id="14"/>
    </w:p>
    <w:p w14:paraId="254E6D16" w14:textId="77777777" w:rsidR="00037328" w:rsidRDefault="00014970">
      <w:pPr>
        <w:spacing w:after="200" w:line="288" w:lineRule="auto"/>
        <w:jc w:val="both"/>
      </w:pPr>
      <w:r>
        <w:t>Synthesized observations over the last 200 years indicate a rapid decline in cryospheric resilience:</w:t>
      </w:r>
    </w:p>
    <w:p w14:paraId="4CBBAC53" w14:textId="77777777" w:rsidR="00037328" w:rsidRDefault="00014970">
      <w:pPr>
        <w:pStyle w:val="ListParagraph"/>
        <w:numPr>
          <w:ilvl w:val="0"/>
          <w:numId w:val="2"/>
        </w:numPr>
        <w:spacing w:after="140" w:line="276" w:lineRule="auto"/>
      </w:pPr>
      <w:r>
        <w:rPr>
          <w:b/>
          <w:bCs/>
          <w:color w:val="041E47"/>
        </w:rPr>
        <w:t>Greenland and Antarctica:</w:t>
      </w:r>
      <w:r>
        <w:t xml:space="preserve"> Both ice sheets show evidence of approaching tipping points. In Greenland, current warming levels may already be sufficient to trigger self-sustaining mass loss. Antarctica faces the threat of “marine ice cliff instability,” where the collapse of ice shelves leads to accelerated retreat of grounded ice.</w:t>
      </w:r>
    </w:p>
    <w:p w14:paraId="56CEC2FE" w14:textId="77777777" w:rsidR="00037328" w:rsidRDefault="00014970">
      <w:pPr>
        <w:pStyle w:val="ListParagraph"/>
        <w:numPr>
          <w:ilvl w:val="0"/>
          <w:numId w:val="2"/>
        </w:numPr>
        <w:spacing w:after="140" w:line="276" w:lineRule="auto"/>
      </w:pPr>
      <w:r>
        <w:rPr>
          <w:b/>
          <w:bCs/>
          <w:color w:val="041E47"/>
        </w:rPr>
        <w:t>Forcing Mechanisms:</w:t>
      </w:r>
      <w:r>
        <w:t xml:space="preserve"> While atmospheric warming drives surface melt, oceanic warming at the grounding lines is the primary driver of sub-shelf melting and shelf collapse. Basal </w:t>
      </w:r>
      <w:r>
        <w:lastRenderedPageBreak/>
        <w:t>geothermal heat flux further lubricates the ice-bedrock interface, facilitating accelerated ice flow (Sverdrups of transport).</w:t>
      </w:r>
    </w:p>
    <w:p w14:paraId="551B781E" w14:textId="77777777" w:rsidR="00037328" w:rsidRDefault="00014970">
      <w:pPr>
        <w:pStyle w:val="ListParagraph"/>
        <w:numPr>
          <w:ilvl w:val="0"/>
          <w:numId w:val="2"/>
        </w:numPr>
        <w:spacing w:after="140" w:line="276" w:lineRule="auto"/>
      </w:pPr>
      <w:r>
        <w:rPr>
          <w:b/>
          <w:bCs/>
          <w:color w:val="041E47"/>
        </w:rPr>
        <w:t>Local vs. Systemic Tipping:</w:t>
      </w:r>
      <w:r>
        <w:t xml:space="preserve"> Localized tipping in mountain glaciers and permafrost serves as an early indicator of system-wide resilience loss. Permafrost thaw, in particular, represents a nonlinear climate component that feeds back into the global hydrological cycle.</w:t>
      </w:r>
    </w:p>
    <w:p w14:paraId="19DBFBAE" w14:textId="77777777" w:rsidR="00037328" w:rsidRDefault="00014970">
      <w:pPr>
        <w:pBdr>
          <w:left w:val="single" w:sz="18" w:space="8" w:color="00A9EE"/>
        </w:pBdr>
        <w:shd w:val="clear" w:color="auto" w:fill="EAF4FC"/>
        <w:spacing w:before="160" w:after="240"/>
        <w:ind w:left="120"/>
      </w:pPr>
      <w:r>
        <w:rPr>
          <w:b/>
          <w:bCs/>
          <w:color w:val="006CC5"/>
          <w:sz w:val="18"/>
          <w:szCs w:val="18"/>
        </w:rPr>
        <w:t xml:space="preserve">CONNECTIVE TISSUE  </w:t>
      </w:r>
      <w:r>
        <w:rPr>
          <w:i/>
          <w:iCs/>
          <w:color w:val="041E47"/>
          <w:sz w:val="21"/>
          <w:szCs w:val="21"/>
        </w:rPr>
        <w:t>These cryospheric indicators represent the culmination of the multi-factor drivers discussed previously, signaling a transition toward a potentially irreversible state shift in the global system.</w:t>
      </w:r>
    </w:p>
    <w:p w14:paraId="27530174" w14:textId="77777777" w:rsidR="00037328" w:rsidRDefault="00014970">
      <w:pPr>
        <w:pStyle w:val="Heading1"/>
        <w:pBdr>
          <w:bottom w:val="single" w:sz="12" w:space="8" w:color="F5B800"/>
        </w:pBdr>
        <w:spacing w:before="480" w:after="200"/>
      </w:pPr>
      <w:bookmarkStart w:id="15" w:name="_Toc238028870"/>
      <w:r>
        <w:rPr>
          <w:b/>
          <w:bCs/>
          <w:color w:val="F5B800"/>
        </w:rPr>
        <w:t xml:space="preserve">5. </w:t>
      </w:r>
      <w:r>
        <w:rPr>
          <w:b/>
          <w:bCs/>
          <w:color w:val="041E47"/>
        </w:rPr>
        <w:t>Multi-Factor Synthesis &amp; Physical Projections</w:t>
      </w:r>
      <w:bookmarkEnd w:id="15"/>
    </w:p>
    <w:p w14:paraId="366B7E4E" w14:textId="77777777" w:rsidR="00037328" w:rsidRDefault="00014970">
      <w:pPr>
        <w:pStyle w:val="Heading2"/>
        <w:spacing w:before="280" w:after="120"/>
      </w:pPr>
      <w:bookmarkStart w:id="16" w:name="_Toc238028871"/>
      <w:r>
        <w:rPr>
          <w:b/>
          <w:bCs/>
          <w:color w:val="006CC5"/>
          <w:sz w:val="24"/>
          <w:szCs w:val="24"/>
        </w:rPr>
        <w:t>Context and Strategic Importance</w:t>
      </w:r>
      <w:bookmarkEnd w:id="16"/>
    </w:p>
    <w:p w14:paraId="54D954E5" w14:textId="77777777" w:rsidR="00037328" w:rsidRDefault="00014970">
      <w:pPr>
        <w:spacing w:after="200" w:line="288" w:lineRule="auto"/>
        <w:jc w:val="both"/>
      </w:pPr>
      <w:r>
        <w:t>Holistic stability analysis requires the identification of “early warning signals” (EWS) that manifest as “critical slowing down” — a phenomenon where a system takes longer to recover from perturbations. This allows geophysicists to predict state shifts before they occur. The potential for “tipping cascades,” where the breach of one threshold (e.g., Greenland ice melt) triggers another (e.g., AMOC shutdown), represents the highest level of strategic risk.</w:t>
      </w:r>
    </w:p>
    <w:p w14:paraId="309AB7E0" w14:textId="77777777" w:rsidR="00037328" w:rsidRDefault="00014970">
      <w:pPr>
        <w:pStyle w:val="Heading2"/>
        <w:spacing w:before="280" w:after="120"/>
      </w:pPr>
      <w:bookmarkStart w:id="17" w:name="_Toc238028872"/>
      <w:r>
        <w:rPr>
          <w:b/>
          <w:bCs/>
          <w:color w:val="006CC5"/>
          <w:sz w:val="24"/>
          <w:szCs w:val="24"/>
        </w:rPr>
        <w:t>System Stability Matrix (1826–Present)</w:t>
      </w:r>
      <w:bookmarkEnd w:id="17"/>
    </w:p>
    <w:tbl>
      <w:tblPr>
        <w:tblW w:w="9400" w:type="dxa"/>
        <w:tblBorders>
          <w:top w:val="single" w:sz="4" w:space="0" w:color="041E47"/>
          <w:left w:val="single" w:sz="4" w:space="0" w:color="041E47"/>
          <w:bottom w:val="single" w:sz="4" w:space="0" w:color="041E47"/>
          <w:right w:val="single" w:sz="4" w:space="0" w:color="041E47"/>
          <w:insideH w:val="single" w:sz="2" w:space="0" w:color="C9D6E3"/>
          <w:insideV w:val="single" w:sz="2" w:space="0" w:color="C9D6E3"/>
        </w:tblBorders>
        <w:tblCellMar>
          <w:left w:w="10" w:type="dxa"/>
          <w:right w:w="10" w:type="dxa"/>
        </w:tblCellMar>
        <w:tblLook w:val="04A0" w:firstRow="1" w:lastRow="0" w:firstColumn="1" w:lastColumn="0" w:noHBand="0" w:noVBand="1"/>
      </w:tblPr>
      <w:tblGrid>
        <w:gridCol w:w="1900"/>
        <w:gridCol w:w="2200"/>
        <w:gridCol w:w="3200"/>
        <w:gridCol w:w="2100"/>
      </w:tblGrid>
      <w:tr w:rsidR="00037328" w14:paraId="53ACB65F" w14:textId="77777777">
        <w:tblPrEx>
          <w:tblCellMar>
            <w:top w:w="0" w:type="dxa"/>
            <w:bottom w:w="0" w:type="dxa"/>
          </w:tblCellMar>
        </w:tblPrEx>
        <w:trPr>
          <w:tblHeader/>
        </w:trPr>
        <w:tc>
          <w:tcPr>
            <w:tcW w:w="1900" w:type="dxa"/>
            <w:shd w:val="clear" w:color="auto" w:fill="041E47"/>
            <w:tcMar>
              <w:top w:w="120" w:type="dxa"/>
              <w:left w:w="120" w:type="dxa"/>
              <w:bottom w:w="120" w:type="dxa"/>
              <w:right w:w="120" w:type="dxa"/>
            </w:tcMar>
            <w:vAlign w:val="center"/>
          </w:tcPr>
          <w:p w14:paraId="3A8CC851" w14:textId="77777777" w:rsidR="00037328" w:rsidRDefault="00014970">
            <w:r>
              <w:rPr>
                <w:b/>
                <w:bCs/>
                <w:color w:val="F5B800"/>
                <w:sz w:val="19"/>
                <w:szCs w:val="19"/>
              </w:rPr>
              <w:t>Earth System Metric</w:t>
            </w:r>
          </w:p>
        </w:tc>
        <w:tc>
          <w:tcPr>
            <w:tcW w:w="2200" w:type="dxa"/>
            <w:shd w:val="clear" w:color="auto" w:fill="041E47"/>
            <w:tcMar>
              <w:top w:w="120" w:type="dxa"/>
              <w:left w:w="120" w:type="dxa"/>
              <w:bottom w:w="120" w:type="dxa"/>
              <w:right w:w="120" w:type="dxa"/>
            </w:tcMar>
            <w:vAlign w:val="center"/>
          </w:tcPr>
          <w:p w14:paraId="45EDB141" w14:textId="77777777" w:rsidR="00037328" w:rsidRDefault="00014970">
            <w:r>
              <w:rPr>
                <w:b/>
                <w:bCs/>
                <w:color w:val="F5B800"/>
                <w:sz w:val="19"/>
                <w:szCs w:val="19"/>
              </w:rPr>
              <w:t>200-Year Rate of Change</w:t>
            </w:r>
          </w:p>
        </w:tc>
        <w:tc>
          <w:tcPr>
            <w:tcW w:w="3200" w:type="dxa"/>
            <w:shd w:val="clear" w:color="auto" w:fill="041E47"/>
            <w:tcMar>
              <w:top w:w="120" w:type="dxa"/>
              <w:left w:w="120" w:type="dxa"/>
              <w:bottom w:w="120" w:type="dxa"/>
              <w:right w:w="120" w:type="dxa"/>
            </w:tcMar>
            <w:vAlign w:val="center"/>
          </w:tcPr>
          <w:p w14:paraId="4AB5DEAF" w14:textId="77777777" w:rsidR="00037328" w:rsidRDefault="00014970">
            <w:r>
              <w:rPr>
                <w:b/>
                <w:bCs/>
                <w:color w:val="F5B800"/>
                <w:sz w:val="19"/>
                <w:szCs w:val="19"/>
              </w:rPr>
              <w:t>Primary Physical Mechanism Variables</w:t>
            </w:r>
          </w:p>
        </w:tc>
        <w:tc>
          <w:tcPr>
            <w:tcW w:w="2100" w:type="dxa"/>
            <w:shd w:val="clear" w:color="auto" w:fill="041E47"/>
            <w:tcMar>
              <w:top w:w="120" w:type="dxa"/>
              <w:left w:w="120" w:type="dxa"/>
              <w:bottom w:w="120" w:type="dxa"/>
              <w:right w:w="120" w:type="dxa"/>
            </w:tcMar>
            <w:vAlign w:val="center"/>
          </w:tcPr>
          <w:p w14:paraId="3E2CB1C5" w14:textId="77777777" w:rsidR="00037328" w:rsidRDefault="00014970">
            <w:r>
              <w:rPr>
                <w:b/>
                <w:bCs/>
                <w:color w:val="F5B800"/>
                <w:sz w:val="19"/>
                <w:szCs w:val="19"/>
              </w:rPr>
              <w:t>Resilience Status</w:t>
            </w:r>
          </w:p>
        </w:tc>
      </w:tr>
      <w:tr w:rsidR="00037328" w14:paraId="56A793B6" w14:textId="77777777">
        <w:tblPrEx>
          <w:tblCellMar>
            <w:top w:w="0" w:type="dxa"/>
            <w:bottom w:w="0" w:type="dxa"/>
          </w:tblCellMar>
        </w:tblPrEx>
        <w:tc>
          <w:tcPr>
            <w:tcW w:w="1900" w:type="dxa"/>
            <w:shd w:val="clear" w:color="auto" w:fill="FFFFFF"/>
            <w:tcMar>
              <w:top w:w="100" w:type="dxa"/>
              <w:left w:w="120" w:type="dxa"/>
              <w:bottom w:w="100" w:type="dxa"/>
              <w:right w:w="120" w:type="dxa"/>
            </w:tcMar>
            <w:vAlign w:val="center"/>
          </w:tcPr>
          <w:p w14:paraId="23DD3241" w14:textId="77777777" w:rsidR="00037328" w:rsidRDefault="00014970">
            <w:r>
              <w:rPr>
                <w:b/>
                <w:bCs/>
                <w:sz w:val="19"/>
                <w:szCs w:val="19"/>
              </w:rPr>
              <w:t>Solar-Terrestrial</w:t>
            </w:r>
          </w:p>
        </w:tc>
        <w:tc>
          <w:tcPr>
            <w:tcW w:w="2200" w:type="dxa"/>
            <w:shd w:val="clear" w:color="auto" w:fill="FFFFFF"/>
            <w:tcMar>
              <w:top w:w="100" w:type="dxa"/>
              <w:left w:w="120" w:type="dxa"/>
              <w:bottom w:w="100" w:type="dxa"/>
              <w:right w:w="120" w:type="dxa"/>
            </w:tcMar>
            <w:vAlign w:val="center"/>
          </w:tcPr>
          <w:p w14:paraId="77DDB5FC" w14:textId="77777777" w:rsidR="00037328" w:rsidRDefault="00014970">
            <w:r>
              <w:rPr>
                <w:sz w:val="19"/>
                <w:szCs w:val="19"/>
              </w:rPr>
              <w:t>Extreme perturbations (1859, 1921)</w:t>
            </w:r>
          </w:p>
        </w:tc>
        <w:tc>
          <w:tcPr>
            <w:tcW w:w="3200" w:type="dxa"/>
            <w:shd w:val="clear" w:color="auto" w:fill="FFFFFF"/>
            <w:tcMar>
              <w:top w:w="100" w:type="dxa"/>
              <w:left w:w="120" w:type="dxa"/>
              <w:bottom w:w="100" w:type="dxa"/>
              <w:right w:w="120" w:type="dxa"/>
            </w:tcMar>
            <w:vAlign w:val="center"/>
          </w:tcPr>
          <w:p w14:paraId="0F9B849A" w14:textId="77777777" w:rsidR="00037328" w:rsidRDefault="00014970">
            <w:r>
              <w:rPr>
                <w:sz w:val="19"/>
                <w:szCs w:val="19"/>
              </w:rPr>
              <w:t>Ionospheric coupling, nT perturbations, TSI</w:t>
            </w:r>
          </w:p>
        </w:tc>
        <w:tc>
          <w:tcPr>
            <w:tcW w:w="2100" w:type="dxa"/>
            <w:shd w:val="clear" w:color="auto" w:fill="FFFFFF"/>
            <w:tcMar>
              <w:top w:w="100" w:type="dxa"/>
              <w:left w:w="120" w:type="dxa"/>
              <w:bottom w:w="100" w:type="dxa"/>
              <w:right w:w="120" w:type="dxa"/>
            </w:tcMar>
            <w:vAlign w:val="center"/>
          </w:tcPr>
          <w:p w14:paraId="5C3ACBC1" w14:textId="77777777" w:rsidR="00037328" w:rsidRDefault="00014970">
            <w:r>
              <w:rPr>
                <w:sz w:val="19"/>
                <w:szCs w:val="19"/>
              </w:rPr>
              <w:t>Baseline Energetic Stress</w:t>
            </w:r>
          </w:p>
        </w:tc>
      </w:tr>
      <w:tr w:rsidR="00037328" w14:paraId="012B8B66" w14:textId="77777777">
        <w:tblPrEx>
          <w:tblCellMar>
            <w:top w:w="0" w:type="dxa"/>
            <w:bottom w:w="0" w:type="dxa"/>
          </w:tblCellMar>
        </w:tblPrEx>
        <w:tc>
          <w:tcPr>
            <w:tcW w:w="1900" w:type="dxa"/>
            <w:shd w:val="clear" w:color="auto" w:fill="EAF4FC"/>
            <w:tcMar>
              <w:top w:w="100" w:type="dxa"/>
              <w:left w:w="120" w:type="dxa"/>
              <w:bottom w:w="100" w:type="dxa"/>
              <w:right w:w="120" w:type="dxa"/>
            </w:tcMar>
            <w:vAlign w:val="center"/>
          </w:tcPr>
          <w:p w14:paraId="75DA9CD5" w14:textId="77777777" w:rsidR="00037328" w:rsidRDefault="00014970">
            <w:r>
              <w:rPr>
                <w:b/>
                <w:bCs/>
                <w:sz w:val="19"/>
                <w:szCs w:val="19"/>
              </w:rPr>
              <w:t>Solid Earth</w:t>
            </w:r>
          </w:p>
        </w:tc>
        <w:tc>
          <w:tcPr>
            <w:tcW w:w="2200" w:type="dxa"/>
            <w:shd w:val="clear" w:color="auto" w:fill="EAF4FC"/>
            <w:tcMar>
              <w:top w:w="100" w:type="dxa"/>
              <w:left w:w="120" w:type="dxa"/>
              <w:bottom w:w="100" w:type="dxa"/>
              <w:right w:w="120" w:type="dxa"/>
            </w:tcMar>
            <w:vAlign w:val="center"/>
          </w:tcPr>
          <w:p w14:paraId="5EBF90E9" w14:textId="77777777" w:rsidR="00037328" w:rsidRDefault="00014970">
            <w:r>
              <w:rPr>
                <w:sz w:val="19"/>
                <w:szCs w:val="19"/>
              </w:rPr>
              <w:t>Increase in volcanic aerosol forcing</w:t>
            </w:r>
          </w:p>
        </w:tc>
        <w:tc>
          <w:tcPr>
            <w:tcW w:w="3200" w:type="dxa"/>
            <w:shd w:val="clear" w:color="auto" w:fill="EAF4FC"/>
            <w:tcMar>
              <w:top w:w="100" w:type="dxa"/>
              <w:left w:w="120" w:type="dxa"/>
              <w:bottom w:w="100" w:type="dxa"/>
              <w:right w:w="120" w:type="dxa"/>
            </w:tcMar>
            <w:vAlign w:val="center"/>
          </w:tcPr>
          <w:p w14:paraId="76272C75" w14:textId="77777777" w:rsidR="00037328" w:rsidRDefault="00014970">
            <w:r>
              <w:rPr>
                <w:sz w:val="19"/>
                <w:szCs w:val="19"/>
              </w:rPr>
              <w:t>VEI 5+ frequency, Basal geothermal heat flux</w:t>
            </w:r>
          </w:p>
        </w:tc>
        <w:tc>
          <w:tcPr>
            <w:tcW w:w="2100" w:type="dxa"/>
            <w:shd w:val="clear" w:color="auto" w:fill="EAF4FC"/>
            <w:tcMar>
              <w:top w:w="100" w:type="dxa"/>
              <w:left w:w="120" w:type="dxa"/>
              <w:bottom w:w="100" w:type="dxa"/>
              <w:right w:w="120" w:type="dxa"/>
            </w:tcMar>
            <w:vAlign w:val="center"/>
          </w:tcPr>
          <w:p w14:paraId="57E18155" w14:textId="77777777" w:rsidR="00037328" w:rsidRDefault="00014970">
            <w:r>
              <w:rPr>
                <w:sz w:val="19"/>
                <w:szCs w:val="19"/>
              </w:rPr>
              <w:t>High Forcing Potential</w:t>
            </w:r>
          </w:p>
        </w:tc>
      </w:tr>
      <w:tr w:rsidR="00037328" w14:paraId="5D7DE9D6" w14:textId="77777777">
        <w:tblPrEx>
          <w:tblCellMar>
            <w:top w:w="0" w:type="dxa"/>
            <w:bottom w:w="0" w:type="dxa"/>
          </w:tblCellMar>
        </w:tblPrEx>
        <w:tc>
          <w:tcPr>
            <w:tcW w:w="1900" w:type="dxa"/>
            <w:shd w:val="clear" w:color="auto" w:fill="FFFFFF"/>
            <w:tcMar>
              <w:top w:w="100" w:type="dxa"/>
              <w:left w:w="120" w:type="dxa"/>
              <w:bottom w:w="100" w:type="dxa"/>
              <w:right w:w="120" w:type="dxa"/>
            </w:tcMar>
            <w:vAlign w:val="center"/>
          </w:tcPr>
          <w:p w14:paraId="7E8F82A5" w14:textId="77777777" w:rsidR="00037328" w:rsidRDefault="00014970">
            <w:r>
              <w:rPr>
                <w:b/>
                <w:bCs/>
                <w:sz w:val="19"/>
                <w:szCs w:val="19"/>
              </w:rPr>
              <w:t>Ocean Circulation</w:t>
            </w:r>
          </w:p>
        </w:tc>
        <w:tc>
          <w:tcPr>
            <w:tcW w:w="2200" w:type="dxa"/>
            <w:shd w:val="clear" w:color="auto" w:fill="FFFFFF"/>
            <w:tcMar>
              <w:top w:w="100" w:type="dxa"/>
              <w:left w:w="120" w:type="dxa"/>
              <w:bottom w:w="100" w:type="dxa"/>
              <w:right w:w="120" w:type="dxa"/>
            </w:tcMar>
            <w:vAlign w:val="center"/>
          </w:tcPr>
          <w:p w14:paraId="6293F5CB" w14:textId="77777777" w:rsidR="00037328" w:rsidRDefault="00014970">
            <w:r>
              <w:rPr>
                <w:sz w:val="19"/>
                <w:szCs w:val="19"/>
              </w:rPr>
              <w:t>Declining transport rates (Sv)</w:t>
            </w:r>
          </w:p>
        </w:tc>
        <w:tc>
          <w:tcPr>
            <w:tcW w:w="3200" w:type="dxa"/>
            <w:shd w:val="clear" w:color="auto" w:fill="FFFFFF"/>
            <w:tcMar>
              <w:top w:w="100" w:type="dxa"/>
              <w:left w:w="120" w:type="dxa"/>
              <w:bottom w:w="100" w:type="dxa"/>
              <w:right w:w="120" w:type="dxa"/>
            </w:tcMar>
            <w:vAlign w:val="center"/>
          </w:tcPr>
          <w:p w14:paraId="614949E1" w14:textId="77777777" w:rsidR="00037328" w:rsidRDefault="00014970">
            <w:r>
              <w:rPr>
                <w:sz w:val="19"/>
                <w:szCs w:val="19"/>
              </w:rPr>
              <w:t>Salinity gradients, thermohaline transport, ENSO</w:t>
            </w:r>
          </w:p>
        </w:tc>
        <w:tc>
          <w:tcPr>
            <w:tcW w:w="2100" w:type="dxa"/>
            <w:shd w:val="clear" w:color="auto" w:fill="FFFFFF"/>
            <w:tcMar>
              <w:top w:w="100" w:type="dxa"/>
              <w:left w:w="120" w:type="dxa"/>
              <w:bottom w:w="100" w:type="dxa"/>
              <w:right w:w="120" w:type="dxa"/>
            </w:tcMar>
            <w:vAlign w:val="center"/>
          </w:tcPr>
          <w:p w14:paraId="53A43479" w14:textId="77777777" w:rsidR="00037328" w:rsidRDefault="00014970">
            <w:r>
              <w:rPr>
                <w:sz w:val="19"/>
                <w:szCs w:val="19"/>
              </w:rPr>
              <w:t>Critical Slowing Down</w:t>
            </w:r>
          </w:p>
        </w:tc>
      </w:tr>
      <w:tr w:rsidR="00037328" w14:paraId="296CFA54" w14:textId="77777777">
        <w:tblPrEx>
          <w:tblCellMar>
            <w:top w:w="0" w:type="dxa"/>
            <w:bottom w:w="0" w:type="dxa"/>
          </w:tblCellMar>
        </w:tblPrEx>
        <w:tc>
          <w:tcPr>
            <w:tcW w:w="1900" w:type="dxa"/>
            <w:shd w:val="clear" w:color="auto" w:fill="EAF4FC"/>
            <w:tcMar>
              <w:top w:w="100" w:type="dxa"/>
              <w:left w:w="120" w:type="dxa"/>
              <w:bottom w:w="100" w:type="dxa"/>
              <w:right w:w="120" w:type="dxa"/>
            </w:tcMar>
            <w:vAlign w:val="center"/>
          </w:tcPr>
          <w:p w14:paraId="42809574" w14:textId="77777777" w:rsidR="00037328" w:rsidRDefault="00014970">
            <w:r>
              <w:rPr>
                <w:b/>
                <w:bCs/>
                <w:sz w:val="19"/>
                <w:szCs w:val="19"/>
              </w:rPr>
              <w:t>Cryosphere</w:t>
            </w:r>
          </w:p>
        </w:tc>
        <w:tc>
          <w:tcPr>
            <w:tcW w:w="2200" w:type="dxa"/>
            <w:shd w:val="clear" w:color="auto" w:fill="EAF4FC"/>
            <w:tcMar>
              <w:top w:w="100" w:type="dxa"/>
              <w:left w:w="120" w:type="dxa"/>
              <w:bottom w:w="100" w:type="dxa"/>
              <w:right w:w="120" w:type="dxa"/>
            </w:tcMar>
            <w:vAlign w:val="center"/>
          </w:tcPr>
          <w:p w14:paraId="59F24D65" w14:textId="77777777" w:rsidR="00037328" w:rsidRDefault="00014970">
            <w:r>
              <w:rPr>
                <w:sz w:val="19"/>
                <w:szCs w:val="19"/>
              </w:rPr>
              <w:t>Accelerating mass loss</w:t>
            </w:r>
          </w:p>
        </w:tc>
        <w:tc>
          <w:tcPr>
            <w:tcW w:w="3200" w:type="dxa"/>
            <w:shd w:val="clear" w:color="auto" w:fill="EAF4FC"/>
            <w:tcMar>
              <w:top w:w="100" w:type="dxa"/>
              <w:left w:w="120" w:type="dxa"/>
              <w:bottom w:w="100" w:type="dxa"/>
              <w:right w:w="120" w:type="dxa"/>
            </w:tcMar>
            <w:vAlign w:val="center"/>
          </w:tcPr>
          <w:p w14:paraId="3F8FF5C1" w14:textId="77777777" w:rsidR="00037328" w:rsidRDefault="00014970">
            <w:r>
              <w:rPr>
                <w:sz w:val="19"/>
                <w:szCs w:val="19"/>
              </w:rPr>
              <w:t>Marine ice cliff instability, warming trends</w:t>
            </w:r>
          </w:p>
        </w:tc>
        <w:tc>
          <w:tcPr>
            <w:tcW w:w="2100" w:type="dxa"/>
            <w:shd w:val="clear" w:color="auto" w:fill="EAF4FC"/>
            <w:tcMar>
              <w:top w:w="100" w:type="dxa"/>
              <w:left w:w="120" w:type="dxa"/>
              <w:bottom w:w="100" w:type="dxa"/>
              <w:right w:w="120" w:type="dxa"/>
            </w:tcMar>
            <w:vAlign w:val="center"/>
          </w:tcPr>
          <w:p w14:paraId="10D3D3B1" w14:textId="77777777" w:rsidR="00037328" w:rsidRDefault="00014970">
            <w:r>
              <w:rPr>
                <w:sz w:val="19"/>
                <w:szCs w:val="19"/>
              </w:rPr>
              <w:t>Tipping Threshold Proximity</w:t>
            </w:r>
          </w:p>
        </w:tc>
      </w:tr>
    </w:tbl>
    <w:p w14:paraId="54CC37DD" w14:textId="77777777" w:rsidR="00037328" w:rsidRDefault="00037328">
      <w:pPr>
        <w:spacing w:after="200"/>
      </w:pPr>
    </w:p>
    <w:p w14:paraId="398800D6" w14:textId="77777777" w:rsidR="00037328" w:rsidRDefault="00014970">
      <w:pPr>
        <w:pStyle w:val="Heading2"/>
        <w:spacing w:before="280" w:after="120"/>
      </w:pPr>
      <w:bookmarkStart w:id="18" w:name="_Toc238028873"/>
      <w:r>
        <w:rPr>
          <w:b/>
          <w:bCs/>
          <w:color w:val="006CC5"/>
          <w:sz w:val="24"/>
          <w:szCs w:val="24"/>
        </w:rPr>
        <w:t>Physical Projections</w:t>
      </w:r>
      <w:bookmarkEnd w:id="18"/>
    </w:p>
    <w:p w14:paraId="3194ECA2" w14:textId="77777777" w:rsidR="00037328" w:rsidRDefault="00014970">
      <w:pPr>
        <w:spacing w:after="200" w:line="288" w:lineRule="auto"/>
        <w:jc w:val="both"/>
      </w:pPr>
      <w:r>
        <w:t>Current physical data suggest that several Earth systems are approaching or have already entered a zone of tipping risk. Greenland and West Antarctic ice sheets are estimated to be at or near their thresholds at current warming levels (unseen in 120,000 years). AMOC shows signs of declining resilience consistent with theoretical tipping. Projections indicate that the probability of tipping cascades — where ice sheet interactions with the AMOC further destabilize the biosphere — increases nonlinearly with ev</w:t>
      </w:r>
      <w:r>
        <w:t>ery 0.1°C of radiative forcing.</w:t>
      </w:r>
    </w:p>
    <w:p w14:paraId="3946C2FE" w14:textId="77777777" w:rsidR="00037328" w:rsidRDefault="00014970">
      <w:pPr>
        <w:pStyle w:val="Heading2"/>
        <w:spacing w:before="280" w:after="120"/>
      </w:pPr>
      <w:bookmarkStart w:id="19" w:name="_Toc238028874"/>
      <w:r>
        <w:rPr>
          <w:b/>
          <w:bCs/>
          <w:color w:val="006CC5"/>
          <w:sz w:val="24"/>
          <w:szCs w:val="24"/>
        </w:rPr>
        <w:lastRenderedPageBreak/>
        <w:t>Final Synthesis</w:t>
      </w:r>
      <w:bookmarkEnd w:id="19"/>
    </w:p>
    <w:p w14:paraId="6AB35054" w14:textId="77777777" w:rsidR="00037328" w:rsidRDefault="00014970">
      <w:pPr>
        <w:spacing w:after="200" w:line="288" w:lineRule="auto"/>
        <w:jc w:val="both"/>
      </w:pPr>
      <w:r>
        <w:t>The status of Earth system stability from 1826 to the present is characterized by an accelerating loss of resilience across more than 25 identified tipping systems. Observational evidence confirms that the planet is approaching a critical state shift. The combined evidence from solar-terrestrial coupling, basal geothermal heat flux, and ocean circulation metrics indicates that the Earth system is currently experiencing a period of profound instability, necessitating the development of higher-resolution risk</w:t>
      </w:r>
      <w:r>
        <w:t xml:space="preserve"> assessments for imminent tipping cascades.</w:t>
      </w:r>
    </w:p>
    <w:sectPr w:rsidR="00037328">
      <w:headerReference w:type="default" r:id="rId10"/>
      <w:footerReference w:type="default" r:id="rId11"/>
      <w:pgSz w:w="12240" w:h="15840"/>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6E332" w14:textId="77777777" w:rsidR="00014970" w:rsidRDefault="00014970">
      <w:r>
        <w:separator/>
      </w:r>
    </w:p>
  </w:endnote>
  <w:endnote w:type="continuationSeparator" w:id="0">
    <w:p w14:paraId="5D0F78BE" w14:textId="77777777" w:rsidR="00014970" w:rsidRDefault="00014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7FA5E" w14:textId="77777777" w:rsidR="00037328" w:rsidRDefault="00014970">
    <w:pPr>
      <w:pBdr>
        <w:top w:val="single" w:sz="4" w:space="4" w:color="C9D6E3"/>
      </w:pBdr>
      <w:tabs>
        <w:tab w:val="right" w:pos="9026"/>
      </w:tabs>
    </w:pPr>
    <w:r>
      <w:rPr>
        <w:noProof/>
      </w:rPr>
      <w:drawing>
        <wp:inline distT="0" distB="0" distL="0" distR="0" wp14:anchorId="2DCC74AF" wp14:editId="17A51B18">
          <wp:extent cx="133350" cy="133350"/>
          <wp:effectExtent l="0" t="0" r="0" b="0"/>
          <wp:docPr id="1875869360" name="Picture 1875869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33350" cy="133350"/>
                  </a:xfrm>
                  <a:prstGeom prst="rect">
                    <a:avLst/>
                  </a:prstGeom>
                </pic:spPr>
              </pic:pic>
            </a:graphicData>
          </a:graphic>
        </wp:inline>
      </w:drawing>
    </w:r>
    <w:r>
      <w:rPr>
        <w:color w:val="5A6B7A"/>
        <w:sz w:val="16"/>
        <w:szCs w:val="16"/>
      </w:rPr>
      <w:t xml:space="preserve">  Horizon Watch — 200-Year Geophysical Status Report</w:t>
    </w:r>
    <w:r>
      <w:rPr>
        <w:b/>
        <w:bCs/>
        <w:color w:val="041E47"/>
        <w:sz w:val="16"/>
        <w:szCs w:val="16"/>
      </w:rPr>
      <w:fldChar w:fldCharType="begin"/>
    </w:r>
    <w:r>
      <w:rPr>
        <w:b/>
        <w:bCs/>
        <w:color w:val="041E47"/>
        <w:sz w:val="16"/>
        <w:szCs w:val="16"/>
      </w:rPr>
      <w:instrText>PAGE</w:instrText>
    </w:r>
    <w:r>
      <w:rPr>
        <w:b/>
        <w:bCs/>
        <w:color w:val="041E47"/>
        <w:sz w:val="16"/>
        <w:szCs w:val="16"/>
      </w:rPr>
      <w:fldChar w:fldCharType="separate"/>
    </w:r>
    <w:r w:rsidR="00C35C93">
      <w:rPr>
        <w:b/>
        <w:bCs/>
        <w:noProof/>
        <w:color w:val="041E47"/>
        <w:sz w:val="16"/>
        <w:szCs w:val="16"/>
      </w:rPr>
      <w:t>i</w:t>
    </w:r>
    <w:r>
      <w:rPr>
        <w:b/>
        <w:bCs/>
        <w:color w:val="041E47"/>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D61C9" w14:textId="77777777" w:rsidR="00037328" w:rsidRDefault="00014970">
    <w:pPr>
      <w:pBdr>
        <w:top w:val="single" w:sz="4" w:space="4" w:color="C9D6E3"/>
      </w:pBdr>
      <w:tabs>
        <w:tab w:val="right" w:pos="9026"/>
      </w:tabs>
    </w:pPr>
    <w:r>
      <w:rPr>
        <w:noProof/>
      </w:rPr>
      <w:drawing>
        <wp:inline distT="0" distB="0" distL="0" distR="0" wp14:anchorId="340D2011" wp14:editId="7693F66D">
          <wp:extent cx="133350" cy="133350"/>
          <wp:effectExtent l="0" t="0" r="0" b="0"/>
          <wp:docPr id="71732525" name="Picture 71732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33350" cy="133350"/>
                  </a:xfrm>
                  <a:prstGeom prst="rect">
                    <a:avLst/>
                  </a:prstGeom>
                </pic:spPr>
              </pic:pic>
            </a:graphicData>
          </a:graphic>
        </wp:inline>
      </w:drawing>
    </w:r>
    <w:r>
      <w:rPr>
        <w:color w:val="5A6B7A"/>
        <w:sz w:val="16"/>
        <w:szCs w:val="16"/>
      </w:rPr>
      <w:t xml:space="preserve">  Horizon Watch — 200-Year Geophysical Status Report</w:t>
    </w:r>
    <w:r>
      <w:rPr>
        <w:b/>
        <w:bCs/>
        <w:color w:val="041E47"/>
        <w:sz w:val="16"/>
        <w:szCs w:val="16"/>
      </w:rPr>
      <w:fldChar w:fldCharType="begin"/>
    </w:r>
    <w:r>
      <w:rPr>
        <w:b/>
        <w:bCs/>
        <w:color w:val="041E47"/>
        <w:sz w:val="16"/>
        <w:szCs w:val="16"/>
      </w:rPr>
      <w:instrText>PAGE</w:instrText>
    </w:r>
    <w:r>
      <w:rPr>
        <w:b/>
        <w:bCs/>
        <w:color w:val="041E47"/>
        <w:sz w:val="16"/>
        <w:szCs w:val="16"/>
      </w:rPr>
      <w:fldChar w:fldCharType="separate"/>
    </w:r>
    <w:r w:rsidR="00C35C93">
      <w:rPr>
        <w:b/>
        <w:bCs/>
        <w:noProof/>
        <w:color w:val="041E47"/>
        <w:sz w:val="16"/>
        <w:szCs w:val="16"/>
      </w:rPr>
      <w:t>1</w:t>
    </w:r>
    <w:r>
      <w:rPr>
        <w:b/>
        <w:bCs/>
        <w:color w:val="041E4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F1CAE" w14:textId="77777777" w:rsidR="00014970" w:rsidRDefault="00014970">
      <w:r>
        <w:separator/>
      </w:r>
    </w:p>
  </w:footnote>
  <w:footnote w:type="continuationSeparator" w:id="0">
    <w:p w14:paraId="121CEAEE" w14:textId="77777777" w:rsidR="00014970" w:rsidRDefault="000149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2A087" w14:textId="77777777" w:rsidR="00037328" w:rsidRDefault="00014970">
    <w:pPr>
      <w:pBdr>
        <w:bottom w:val="single" w:sz="8" w:space="4" w:color="F5B800"/>
      </w:pBdr>
      <w:tabs>
        <w:tab w:val="right" w:pos="9026"/>
      </w:tabs>
    </w:pPr>
    <w:r>
      <w:rPr>
        <w:b/>
        <w:bCs/>
        <w:color w:val="041E47"/>
        <w:sz w:val="16"/>
        <w:szCs w:val="16"/>
      </w:rPr>
      <w:t>HORIZON WATCH</w:t>
    </w:r>
    <w:r>
      <w:rPr>
        <w:color w:val="006CC5"/>
        <w:sz w:val="16"/>
        <w:szCs w:val="16"/>
      </w:rPr>
      <w:tab/>
      <w:t>GEOPHYSICAL STATUS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9D9D3" w14:textId="77777777" w:rsidR="00037328" w:rsidRDefault="00014970">
    <w:pPr>
      <w:pBdr>
        <w:bottom w:val="single" w:sz="8" w:space="4" w:color="F5B800"/>
      </w:pBdr>
      <w:tabs>
        <w:tab w:val="right" w:pos="9026"/>
      </w:tabs>
    </w:pPr>
    <w:r>
      <w:rPr>
        <w:b/>
        <w:bCs/>
        <w:color w:val="041E47"/>
        <w:sz w:val="16"/>
        <w:szCs w:val="16"/>
      </w:rPr>
      <w:t>HORIZON WATCH</w:t>
    </w:r>
    <w:r>
      <w:rPr>
        <w:color w:val="006CC5"/>
        <w:sz w:val="16"/>
        <w:szCs w:val="16"/>
      </w:rPr>
      <w:tab/>
      <w:t>GEOPHYSICAL STATUS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A760F"/>
    <w:multiLevelType w:val="hybridMultilevel"/>
    <w:tmpl w:val="C09CB4C4"/>
    <w:lvl w:ilvl="0" w:tplc="546E51EE">
      <w:start w:val="1"/>
      <w:numFmt w:val="bullet"/>
      <w:lvlText w:val="●"/>
      <w:lvlJc w:val="left"/>
      <w:pPr>
        <w:ind w:left="720" w:hanging="360"/>
      </w:pPr>
    </w:lvl>
    <w:lvl w:ilvl="1" w:tplc="8EE21EAA">
      <w:start w:val="1"/>
      <w:numFmt w:val="bullet"/>
      <w:lvlText w:val="○"/>
      <w:lvlJc w:val="left"/>
      <w:pPr>
        <w:ind w:left="1440" w:hanging="360"/>
      </w:pPr>
    </w:lvl>
    <w:lvl w:ilvl="2" w:tplc="C1AC639E">
      <w:start w:val="1"/>
      <w:numFmt w:val="bullet"/>
      <w:lvlText w:val="■"/>
      <w:lvlJc w:val="left"/>
      <w:pPr>
        <w:ind w:left="2160" w:hanging="360"/>
      </w:pPr>
    </w:lvl>
    <w:lvl w:ilvl="3" w:tplc="22AA5356">
      <w:start w:val="1"/>
      <w:numFmt w:val="bullet"/>
      <w:lvlText w:val="●"/>
      <w:lvlJc w:val="left"/>
      <w:pPr>
        <w:ind w:left="2880" w:hanging="360"/>
      </w:pPr>
    </w:lvl>
    <w:lvl w:ilvl="4" w:tplc="9222A800">
      <w:start w:val="1"/>
      <w:numFmt w:val="bullet"/>
      <w:lvlText w:val="○"/>
      <w:lvlJc w:val="left"/>
      <w:pPr>
        <w:ind w:left="3600" w:hanging="360"/>
      </w:pPr>
    </w:lvl>
    <w:lvl w:ilvl="5" w:tplc="9E409C1C">
      <w:start w:val="1"/>
      <w:numFmt w:val="bullet"/>
      <w:lvlText w:val="■"/>
      <w:lvlJc w:val="left"/>
      <w:pPr>
        <w:ind w:left="4320" w:hanging="360"/>
      </w:pPr>
    </w:lvl>
    <w:lvl w:ilvl="6" w:tplc="655A9704">
      <w:start w:val="1"/>
      <w:numFmt w:val="bullet"/>
      <w:lvlText w:val="●"/>
      <w:lvlJc w:val="left"/>
      <w:pPr>
        <w:ind w:left="5040" w:hanging="360"/>
      </w:pPr>
    </w:lvl>
    <w:lvl w:ilvl="7" w:tplc="1A442390">
      <w:start w:val="1"/>
      <w:numFmt w:val="bullet"/>
      <w:lvlText w:val="●"/>
      <w:lvlJc w:val="left"/>
      <w:pPr>
        <w:ind w:left="5760" w:hanging="360"/>
      </w:pPr>
    </w:lvl>
    <w:lvl w:ilvl="8" w:tplc="D1E49AE4">
      <w:start w:val="1"/>
      <w:numFmt w:val="bullet"/>
      <w:lvlText w:val="●"/>
      <w:lvlJc w:val="left"/>
      <w:pPr>
        <w:ind w:left="6480" w:hanging="360"/>
      </w:pPr>
    </w:lvl>
  </w:abstractNum>
  <w:abstractNum w:abstractNumId="1" w15:restartNumberingAfterBreak="0">
    <w:nsid w:val="53DC73AB"/>
    <w:multiLevelType w:val="hybridMultilevel"/>
    <w:tmpl w:val="76AE5492"/>
    <w:lvl w:ilvl="0" w:tplc="D6E24B42">
      <w:start w:val="1"/>
      <w:numFmt w:val="bullet"/>
      <w:lvlText w:val="✦"/>
      <w:lvlJc w:val="left"/>
      <w:pPr>
        <w:ind w:left="504" w:hanging="288"/>
      </w:pPr>
      <w:rPr>
        <w:rFonts w:ascii="Helvetica" w:eastAsia="Helvetica" w:hAnsi="Helvetica" w:cs="Helvetica"/>
        <w:color w:val="F5B800"/>
      </w:rPr>
    </w:lvl>
    <w:lvl w:ilvl="1" w:tplc="98A2E5BC">
      <w:numFmt w:val="decimal"/>
      <w:lvlText w:val=""/>
      <w:lvlJc w:val="left"/>
    </w:lvl>
    <w:lvl w:ilvl="2" w:tplc="1CFE87B0">
      <w:numFmt w:val="decimal"/>
      <w:lvlText w:val=""/>
      <w:lvlJc w:val="left"/>
    </w:lvl>
    <w:lvl w:ilvl="3" w:tplc="E6665CBC">
      <w:numFmt w:val="decimal"/>
      <w:lvlText w:val=""/>
      <w:lvlJc w:val="left"/>
    </w:lvl>
    <w:lvl w:ilvl="4" w:tplc="F97252C4">
      <w:numFmt w:val="decimal"/>
      <w:lvlText w:val=""/>
      <w:lvlJc w:val="left"/>
    </w:lvl>
    <w:lvl w:ilvl="5" w:tplc="9FA4D25A">
      <w:numFmt w:val="decimal"/>
      <w:lvlText w:val=""/>
      <w:lvlJc w:val="left"/>
    </w:lvl>
    <w:lvl w:ilvl="6" w:tplc="47864628">
      <w:numFmt w:val="decimal"/>
      <w:lvlText w:val=""/>
      <w:lvlJc w:val="left"/>
    </w:lvl>
    <w:lvl w:ilvl="7" w:tplc="D2EAE0CA">
      <w:numFmt w:val="decimal"/>
      <w:lvlText w:val=""/>
      <w:lvlJc w:val="left"/>
    </w:lvl>
    <w:lvl w:ilvl="8" w:tplc="3530E56C">
      <w:numFmt w:val="decimal"/>
      <w:lvlText w:val=""/>
      <w:lvlJc w:val="left"/>
    </w:lvl>
  </w:abstractNum>
  <w:num w:numId="1" w16cid:durableId="15080017">
    <w:abstractNumId w:val="0"/>
    <w:lvlOverride w:ilvl="0">
      <w:startOverride w:val="1"/>
    </w:lvlOverride>
  </w:num>
  <w:num w:numId="2" w16cid:durableId="164554465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328"/>
    <w:rsid w:val="00014970"/>
    <w:rsid w:val="00037328"/>
    <w:rsid w:val="00C35C93"/>
    <w:rsid w:val="00E93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430E8"/>
  <w15:docId w15:val="{B00C27FD-F729-4291-B18D-A7AA537A7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Helvetica" w:hAnsi="Helvetica" w:cs="Helvetica"/>
        <w:color w:val="1A1A1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C35C93"/>
    <w:pPr>
      <w:spacing w:after="100"/>
    </w:pPr>
  </w:style>
  <w:style w:type="paragraph" w:styleId="TOC2">
    <w:name w:val="toc 2"/>
    <w:basedOn w:val="Normal"/>
    <w:next w:val="Normal"/>
    <w:autoRedefine/>
    <w:uiPriority w:val="39"/>
    <w:unhideWhenUsed/>
    <w:rsid w:val="00C35C93"/>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2006</Words>
  <Characters>11437</Characters>
  <Application>Microsoft Office Word</Application>
  <DocSecurity>0</DocSecurity>
  <Lines>95</Lines>
  <Paragraphs>26</Paragraphs>
  <ScaleCrop>false</ScaleCrop>
  <Company/>
  <LinksUpToDate>false</LinksUpToDate>
  <CharactersWithSpaces>13417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200-Year Geophysical Status Report</dc:title>
  <dc:creator>Horizon Watch</dc:creator>
  <dc:description>Earth System Stability and Solar-Terrestrial Dynamics (1826–Present)</dc:description>
  <cp:lastModifiedBy>Rich Green</cp:lastModifiedBy>
  <cp:revision>2</cp:revision>
  <dcterms:created xsi:type="dcterms:W3CDTF">2026-08-19T15:45:00Z</dcterms:created>
  <dcterms:modified xsi:type="dcterms:W3CDTF">2026-08-19T15:46:00Z</dcterms:modified>
</cp:coreProperties>
</file>